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9E53" w14:textId="545B2797" w:rsidR="003433ED" w:rsidRPr="00052513" w:rsidRDefault="003433ED" w:rsidP="003433ED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  <w:r w:rsidRPr="00052513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Supplemental Table </w:t>
      </w:r>
      <w:r w:rsidR="0087049E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Pr="00052513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052513">
        <w:rPr>
          <w:rFonts w:ascii="Times New Roman" w:hAnsi="Times New Roman"/>
          <w:sz w:val="24"/>
          <w:szCs w:val="24"/>
          <w:lang w:val="en-US"/>
        </w:rPr>
        <w:t xml:space="preserve">Summary of hydroclimate variable loadings from principal component analysis (PCA2, Hypothesis 2) </w:t>
      </w:r>
      <w:r w:rsidR="00476F73">
        <w:rPr>
          <w:rFonts w:ascii="Times New Roman" w:hAnsi="Times New Roman"/>
          <w:sz w:val="24"/>
          <w:szCs w:val="24"/>
          <w:lang w:val="en-US"/>
        </w:rPr>
        <w:t>after varimax rotation. Variables indicate</w:t>
      </w:r>
      <w:r w:rsidR="00476F73" w:rsidRPr="009C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513">
        <w:rPr>
          <w:rFonts w:ascii="Times New Roman" w:hAnsi="Times New Roman"/>
          <w:sz w:val="24"/>
          <w:szCs w:val="24"/>
          <w:lang w:val="en-US"/>
        </w:rPr>
        <w:t xml:space="preserve">precipitation and river level during embryonic development (September–October) and at hatching time (November), in the headwaters </w:t>
      </w:r>
      <w:r w:rsidR="00B7053E">
        <w:rPr>
          <w:rFonts w:ascii="Times New Roman" w:hAnsi="Times New Roman"/>
          <w:sz w:val="24"/>
          <w:szCs w:val="24"/>
          <w:lang w:val="en-US"/>
        </w:rPr>
        <w:t>or</w:t>
      </w:r>
      <w:r w:rsidRPr="00052513">
        <w:rPr>
          <w:rFonts w:ascii="Times New Roman" w:hAnsi="Times New Roman"/>
          <w:sz w:val="24"/>
          <w:szCs w:val="24"/>
          <w:lang w:val="en-US"/>
        </w:rPr>
        <w:t xml:space="preserve"> nesting sites </w:t>
      </w:r>
      <w:r w:rsidR="00B7053E">
        <w:rPr>
          <w:rFonts w:ascii="Times New Roman" w:hAnsi="Times New Roman"/>
          <w:sz w:val="24"/>
          <w:szCs w:val="24"/>
          <w:lang w:val="en-US"/>
        </w:rPr>
        <w:t xml:space="preserve">(local) </w:t>
      </w:r>
      <w:r w:rsidRPr="00052513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Pr="00052513">
        <w:rPr>
          <w:rFonts w:ascii="Times New Roman" w:hAnsi="Times New Roman"/>
          <w:i/>
          <w:iCs/>
          <w:sz w:val="24"/>
          <w:szCs w:val="24"/>
          <w:lang w:val="en-US"/>
        </w:rPr>
        <w:t>Podocnemis</w:t>
      </w:r>
      <w:proofErr w:type="spellEnd"/>
      <w:r w:rsidRPr="0005251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52513">
        <w:rPr>
          <w:rFonts w:ascii="Times New Roman" w:hAnsi="Times New Roman"/>
          <w:i/>
          <w:iCs/>
          <w:sz w:val="24"/>
          <w:szCs w:val="24"/>
          <w:lang w:val="en-US"/>
        </w:rPr>
        <w:t>expansa</w:t>
      </w:r>
      <w:proofErr w:type="spellEnd"/>
      <w:r w:rsidRPr="00052513">
        <w:rPr>
          <w:rFonts w:ascii="Times New Roman" w:hAnsi="Times New Roman"/>
          <w:sz w:val="24"/>
          <w:szCs w:val="24"/>
          <w:lang w:val="en-US"/>
        </w:rPr>
        <w:t xml:space="preserve"> in the Javaés River, Araguaia National Park, Pium, Tocantins, Brazil from 1985 to 2009.</w:t>
      </w:r>
    </w:p>
    <w:p w14:paraId="31E760BA" w14:textId="77777777" w:rsidR="001433D2" w:rsidRPr="00B25273" w:rsidRDefault="001433D2" w:rsidP="001433D2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5"/>
        <w:gridCol w:w="1309"/>
        <w:gridCol w:w="1265"/>
        <w:gridCol w:w="1214"/>
        <w:gridCol w:w="1318"/>
        <w:gridCol w:w="1265"/>
        <w:gridCol w:w="1262"/>
      </w:tblGrid>
      <w:tr w:rsidR="006C412D" w:rsidRPr="006C412D" w14:paraId="0ADCE9B6" w14:textId="77777777" w:rsidTr="001433D2">
        <w:trPr>
          <w:trHeight w:val="29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56EF" w14:textId="4355E978" w:rsidR="006C412D" w:rsidRPr="006C412D" w:rsidRDefault="006C412D" w:rsidP="001433D2">
            <w:pPr>
              <w:spacing w:before="0" w:after="0"/>
              <w:ind w:right="0" w:firstLine="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spellStart"/>
            <w:r w:rsidRPr="006072FA">
              <w:rPr>
                <w:rFonts w:ascii="Times New Roman" w:eastAsia="Times New Roman" w:hAnsi="Times New Roman"/>
                <w:b/>
                <w:bCs/>
                <w:lang w:val="pt-BR"/>
              </w:rPr>
              <w:t>Hydroclimate</w:t>
            </w:r>
            <w:proofErr w:type="spellEnd"/>
            <w:r w:rsidRPr="006072FA">
              <w:rPr>
                <w:rFonts w:ascii="Times New Roman" w:eastAsia="Times New Roman" w:hAnsi="Times New Roman"/>
                <w:b/>
                <w:bCs/>
                <w:lang w:val="pt-BR"/>
              </w:rPr>
              <w:t xml:space="preserve"> </w:t>
            </w:r>
            <w:proofErr w:type="spellStart"/>
            <w:r w:rsidRPr="006072FA">
              <w:rPr>
                <w:rFonts w:ascii="Times New Roman" w:eastAsia="Times New Roman" w:hAnsi="Times New Roman"/>
                <w:b/>
                <w:bCs/>
                <w:lang w:val="pt-BR"/>
              </w:rPr>
              <w:t>variable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CDEA" w14:textId="29933B14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619A" w14:textId="234E46B8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1162" w14:textId="32AE3805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BE88" w14:textId="21795F0C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50C1" w14:textId="5E5FD362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E4CA" w14:textId="4FE84BAE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hAnsi="Times New Roman"/>
                <w:b/>
                <w:bCs/>
                <w:color w:val="000000"/>
              </w:rPr>
              <w:t>PC6</w:t>
            </w:r>
          </w:p>
        </w:tc>
      </w:tr>
      <w:tr w:rsidR="006C412D" w:rsidRPr="006C412D" w14:paraId="7E393CFC" w14:textId="77777777" w:rsidTr="001433D2">
        <w:trPr>
          <w:trHeight w:val="290"/>
        </w:trPr>
        <w:tc>
          <w:tcPr>
            <w:tcW w:w="2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3CD" w14:textId="23B49FE7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8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-0.617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9F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75E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BA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C545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EB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0.691</w:t>
            </w:r>
          </w:p>
        </w:tc>
      </w:tr>
      <w:tr w:rsidR="006C412D" w:rsidRPr="006C412D" w14:paraId="531EDF4C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F26" w14:textId="431D68BB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Average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B8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B72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D27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99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A1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2B09" w14:textId="3C316D93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412D" w:rsidRPr="006C412D" w14:paraId="654E8473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3715" w14:textId="56102182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Maximum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FD9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9D5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C8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87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0.882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82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02B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2D" w:rsidRPr="006C412D" w14:paraId="01700195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2006" w14:textId="5608C8DB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3D6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D3C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85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61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92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0C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2D" w:rsidRPr="006C412D" w14:paraId="0202B4D9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5DB6" w14:textId="03F85257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Average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BE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-0.227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71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42F" w14:textId="70A16A45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1A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01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E7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0.405</w:t>
            </w:r>
          </w:p>
        </w:tc>
      </w:tr>
      <w:tr w:rsidR="006C412D" w:rsidRPr="006C412D" w14:paraId="25535FA1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A599" w14:textId="6727D4B8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Maximum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precipitation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45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B5A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29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262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4C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565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2D" w:rsidRPr="006C412D" w14:paraId="64D4794B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7876" w14:textId="3F9A910A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color w:val="000000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levels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99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4F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11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D4B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ED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-0.157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B6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-0.104</w:t>
            </w:r>
          </w:p>
        </w:tc>
      </w:tr>
      <w:tr w:rsidR="006C412D" w:rsidRPr="006C412D" w14:paraId="0EE6FE73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1D65" w14:textId="4B61B3BC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Maximum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color w:val="000000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levels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BCA" w14:textId="4926483A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4E4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-0.689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6D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CE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CC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A13" w14:textId="4F456376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-0.57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412D" w:rsidRPr="006C412D" w14:paraId="62E7A8E6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498F" w14:textId="2D4051D8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level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D3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-0.661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24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4D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CC4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1D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574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0.106</w:t>
            </w:r>
          </w:p>
        </w:tc>
      </w:tr>
      <w:tr w:rsidR="006C412D" w:rsidRPr="006C412D" w14:paraId="08AAD730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5D83" w14:textId="1F1AA7CD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Average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level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24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-0.865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E3C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D98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C5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39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32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0.217</w:t>
            </w:r>
          </w:p>
        </w:tc>
      </w:tr>
      <w:tr w:rsidR="006C412D" w:rsidRPr="006C412D" w14:paraId="305DF4AF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07A2" w14:textId="213EB55A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Maximum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level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85C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-0.793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85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-0.393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00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9B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40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60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-0.251</w:t>
            </w:r>
          </w:p>
        </w:tc>
      </w:tr>
      <w:tr w:rsidR="006C412D" w:rsidRPr="006C412D" w14:paraId="2580AE7A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9BC4" w14:textId="05A871F7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7EE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-0.449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F7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5D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314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9A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89B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0.455</w:t>
            </w:r>
          </w:p>
        </w:tc>
      </w:tr>
      <w:tr w:rsidR="006C412D" w:rsidRPr="006C412D" w14:paraId="705A9450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52B0" w14:textId="333CD63A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802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80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D9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5D3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9AF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8B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0.842</w:t>
            </w:r>
          </w:p>
        </w:tc>
      </w:tr>
      <w:tr w:rsidR="006C412D" w:rsidRPr="006C412D" w14:paraId="7E131654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A71D" w14:textId="43BB661F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CA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32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EF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-0.528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7EB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93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1A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0.378</w:t>
            </w:r>
          </w:p>
        </w:tc>
      </w:tr>
      <w:tr w:rsidR="006C412D" w:rsidRPr="006C412D" w14:paraId="587B4859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99F7" w14:textId="34531004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5F8A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D9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B4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4F4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62A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BF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0.129</w:t>
            </w:r>
          </w:p>
        </w:tc>
      </w:tr>
      <w:tr w:rsidR="006C412D" w:rsidRPr="006C412D" w14:paraId="31F83C7F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716" w14:textId="0C843BDC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7EC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3A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CCE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90E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84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30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0.818</w:t>
            </w:r>
          </w:p>
        </w:tc>
      </w:tr>
      <w:tr w:rsidR="006C412D" w:rsidRPr="006C412D" w14:paraId="1D2EA0E1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A46" w14:textId="5E5EB9E2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381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EEB" w14:textId="58A1DC98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-0.26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C4F" w14:textId="5498A688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B7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4D7" w14:textId="041339EA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  <w:r w:rsidR="006D4F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D72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12D" w:rsidRPr="006C412D" w14:paraId="4CD14050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FA3" w14:textId="2364FAA9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706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-0.196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D9B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7A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0.794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A5F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68D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979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0.329</w:t>
            </w:r>
          </w:p>
        </w:tc>
      </w:tr>
      <w:tr w:rsidR="006C412D" w:rsidRPr="006C412D" w14:paraId="117E0CFC" w14:textId="77777777" w:rsidTr="001433D2">
        <w:trPr>
          <w:trHeight w:val="290"/>
        </w:trPr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103C" w14:textId="2D32927F" w:rsidR="006C412D" w:rsidRPr="006C412D" w:rsidRDefault="006C412D" w:rsidP="001433D2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4991A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-0.653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242FA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4410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1273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-0.182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8A57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2D">
              <w:rPr>
                <w:rFonts w:ascii="Times New Roman" w:hAnsi="Times New Roman"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E6CC" w14:textId="77777777" w:rsidR="006C412D" w:rsidRPr="006C412D" w:rsidRDefault="006C412D" w:rsidP="001433D2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7BC407B" w14:textId="77777777" w:rsidR="00DC0522" w:rsidRDefault="00DC0522" w:rsidP="001433D2">
      <w:pPr>
        <w:spacing w:before="0" w:after="0"/>
        <w:ind w:firstLine="0"/>
      </w:pPr>
    </w:p>
    <w:sectPr w:rsidR="00DC0522" w:rsidSect="00DE78D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exNLQ0MTIwNbNU0lEKTi0uzszPAykwrAUA0YnDkiwAAAA="/>
  </w:docVars>
  <w:rsids>
    <w:rsidRoot w:val="006C412D"/>
    <w:rsid w:val="00002598"/>
    <w:rsid w:val="00052513"/>
    <w:rsid w:val="001433D2"/>
    <w:rsid w:val="001A68FD"/>
    <w:rsid w:val="00333C11"/>
    <w:rsid w:val="003433ED"/>
    <w:rsid w:val="0044518A"/>
    <w:rsid w:val="00476F73"/>
    <w:rsid w:val="006C412D"/>
    <w:rsid w:val="006D4F77"/>
    <w:rsid w:val="00825802"/>
    <w:rsid w:val="0087049E"/>
    <w:rsid w:val="00940496"/>
    <w:rsid w:val="00B7053E"/>
    <w:rsid w:val="00DC0522"/>
    <w:rsid w:val="00D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C8A2"/>
  <w15:chartTrackingRefBased/>
  <w15:docId w15:val="{A7D0CF46-332C-4ED4-AC68-A82464B3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2D"/>
    <w:pPr>
      <w:spacing w:before="120" w:after="120" w:line="240" w:lineRule="auto"/>
      <w:ind w:right="-79" w:firstLine="340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C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Sousa</dc:creator>
  <cp:keywords/>
  <dc:description/>
  <cp:lastModifiedBy>Kathleen Smith</cp:lastModifiedBy>
  <cp:revision>3</cp:revision>
  <dcterms:created xsi:type="dcterms:W3CDTF">2021-11-25T14:58:00Z</dcterms:created>
  <dcterms:modified xsi:type="dcterms:W3CDTF">2022-07-14T16:13:00Z</dcterms:modified>
</cp:coreProperties>
</file>