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0E90" w14:textId="21990878" w:rsidR="00C7091D" w:rsidRDefault="00151848" w:rsidP="00C7091D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b/>
          <w:color w:val="000000"/>
        </w:rPr>
        <w:t>Supplemental</w:t>
      </w:r>
      <w:r w:rsidR="008331DD">
        <w:rPr>
          <w:b/>
          <w:color w:val="000000"/>
        </w:rPr>
        <w:t xml:space="preserve"> </w:t>
      </w:r>
      <w:r w:rsidR="00C7091D">
        <w:rPr>
          <w:b/>
          <w:color w:val="000000"/>
        </w:rPr>
        <w:t>Figure</w:t>
      </w:r>
      <w:r w:rsidR="008331DD">
        <w:rPr>
          <w:b/>
          <w:color w:val="000000"/>
        </w:rPr>
        <w:t>s</w:t>
      </w:r>
    </w:p>
    <w:p w14:paraId="097B9038" w14:textId="080351E2" w:rsidR="00C7091D" w:rsidRDefault="00C7091D" w:rsidP="00C7091D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>
        <w:rPr>
          <w:color w:val="000000"/>
        </w:rPr>
        <w:t xml:space="preserve">1: </w:t>
      </w:r>
      <w:r w:rsidR="008331DD">
        <w:rPr>
          <w:color w:val="000000"/>
        </w:rPr>
        <w:t xml:space="preserve">Maximum likelihood ddRAD phylogenies using alignments with varying proportions of missing data for range-wide </w:t>
      </w:r>
      <w:r w:rsidR="008331DD">
        <w:rPr>
          <w:i/>
          <w:color w:val="000000"/>
        </w:rPr>
        <w:t>R. clamitans</w:t>
      </w:r>
      <w:r w:rsidR="008331DD">
        <w:rPr>
          <w:color w:val="000000"/>
        </w:rPr>
        <w:t xml:space="preserve"> s</w:t>
      </w:r>
      <w:bookmarkStart w:id="1" w:name="_Hlk59195758"/>
      <w:r w:rsidR="008331DD">
        <w:rPr>
          <w:color w:val="000000"/>
        </w:rPr>
        <w:t xml:space="preserve">amples and all members of the </w:t>
      </w:r>
      <w:r w:rsidR="008331DD" w:rsidRPr="00F07040">
        <w:rPr>
          <w:i/>
          <w:color w:val="000000"/>
        </w:rPr>
        <w:t>Aquarana</w:t>
      </w:r>
      <w:r w:rsidR="008331DD">
        <w:rPr>
          <w:i/>
          <w:color w:val="000000"/>
        </w:rPr>
        <w:t xml:space="preserve"> </w:t>
      </w:r>
      <w:r w:rsidR="008331DD">
        <w:rPr>
          <w:color w:val="000000"/>
        </w:rPr>
        <w:t xml:space="preserve">clade. </w:t>
      </w:r>
      <w:bookmarkStart w:id="2" w:name="_Hlk59195687"/>
      <w:bookmarkEnd w:id="1"/>
      <w:r w:rsidR="008331DD">
        <w:rPr>
          <w:color w:val="000000"/>
        </w:rPr>
        <w:t>Branch lengths are proportional to expected substitutions per site.</w:t>
      </w:r>
      <w:bookmarkEnd w:id="2"/>
      <w:r w:rsidR="008331DD">
        <w:rPr>
          <w:color w:val="000000"/>
        </w:rPr>
        <w:t xml:space="preserve"> Nodes with less than 50% bootstrap support are collapsed.</w:t>
      </w:r>
    </w:p>
    <w:p w14:paraId="68BCA4D1" w14:textId="5938AB99" w:rsidR="00C7091D" w:rsidRDefault="008331DD" w:rsidP="00C7091D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>
        <w:rPr>
          <w:color w:val="000000"/>
        </w:rPr>
        <w:t>2: ddRAD species tree estimated using Tetrad. Branch lengths are arbitrary. Nodes with less than 50% bootstrap support are collapsed.</w:t>
      </w:r>
    </w:p>
    <w:p w14:paraId="454191C6" w14:textId="3F01D34E" w:rsidR="00AE0F36" w:rsidRDefault="00AE0F36" w:rsidP="00C7091D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>
        <w:rPr>
          <w:color w:val="000000"/>
        </w:rPr>
        <w:t>3: Maximum likelihood mtDNA phylogeny. Branch lengths are proportional to expected substitutions per site. Nodes with less than 50% bootstrap support are collapsed.</w:t>
      </w:r>
    </w:p>
    <w:p w14:paraId="2064458A" w14:textId="539E74D1" w:rsidR="00174C56" w:rsidRDefault="00AE0F36" w:rsidP="00974C5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>
        <w:rPr>
          <w:color w:val="000000"/>
        </w:rPr>
        <w:t xml:space="preserve">4. LEA </w:t>
      </w:r>
      <w:r w:rsidR="00174C56">
        <w:rPr>
          <w:color w:val="000000"/>
        </w:rPr>
        <w:t xml:space="preserve">and tess3R </w:t>
      </w:r>
      <w:r>
        <w:rPr>
          <w:color w:val="000000"/>
        </w:rPr>
        <w:t>cross-entropy scores for different numbers of ancestral populations</w:t>
      </w:r>
      <w:r w:rsidR="00174C56">
        <w:rPr>
          <w:color w:val="000000"/>
        </w:rPr>
        <w:t xml:space="preserve"> across different datasets</w:t>
      </w:r>
      <w:r w:rsidR="00A81974">
        <w:rPr>
          <w:color w:val="000000"/>
        </w:rPr>
        <w:t xml:space="preserve">. Red point indicates K=3 for </w:t>
      </w:r>
      <w:r w:rsidR="00A81974">
        <w:rPr>
          <w:i/>
          <w:iCs/>
          <w:color w:val="000000"/>
        </w:rPr>
        <w:t>R. clamitans</w:t>
      </w:r>
      <w:r w:rsidR="00A81974">
        <w:rPr>
          <w:color w:val="000000"/>
        </w:rPr>
        <w:t xml:space="preserve"> + </w:t>
      </w:r>
      <w:r w:rsidR="00A81974">
        <w:rPr>
          <w:i/>
          <w:iCs/>
          <w:color w:val="000000"/>
        </w:rPr>
        <w:t>R. okaloosae</w:t>
      </w:r>
      <w:r w:rsidR="00A81974">
        <w:rPr>
          <w:color w:val="000000"/>
        </w:rPr>
        <w:t xml:space="preserve"> or K=2 for </w:t>
      </w:r>
      <w:r w:rsidR="00A81974">
        <w:rPr>
          <w:i/>
          <w:iCs/>
          <w:color w:val="000000"/>
        </w:rPr>
        <w:t>R. clamitans</w:t>
      </w:r>
      <w:r w:rsidR="00A81974">
        <w:rPr>
          <w:color w:val="000000"/>
        </w:rPr>
        <w:t xml:space="preserve"> alone.</w:t>
      </w:r>
    </w:p>
    <w:p w14:paraId="6CECBA7C" w14:textId="363AB42C" w:rsidR="00A81974" w:rsidRPr="002913DD" w:rsidRDefault="00A81974" w:rsidP="00974C5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>
        <w:rPr>
          <w:color w:val="000000"/>
        </w:rPr>
        <w:t>5. LEA and tess3R ancestry coefficient bar</w:t>
      </w:r>
      <w:r w:rsidR="008B335C">
        <w:rPr>
          <w:color w:val="000000"/>
        </w:rPr>
        <w:t xml:space="preserve"> </w:t>
      </w:r>
      <w:r>
        <w:rPr>
          <w:color w:val="000000"/>
        </w:rPr>
        <w:t>plots for different numbers of genetic clusters (K) with different filtering thresholds for missing data</w:t>
      </w:r>
      <w:r w:rsidR="002913DD">
        <w:rPr>
          <w:color w:val="000000"/>
        </w:rPr>
        <w:t xml:space="preserve"> when analyzing only </w:t>
      </w:r>
      <w:r w:rsidR="002913DD">
        <w:rPr>
          <w:i/>
          <w:iCs/>
          <w:color w:val="000000"/>
        </w:rPr>
        <w:t>Rana clamitans</w:t>
      </w:r>
      <w:r w:rsidR="002913DD">
        <w:rPr>
          <w:color w:val="000000"/>
        </w:rPr>
        <w:t>.</w:t>
      </w:r>
    </w:p>
    <w:p w14:paraId="4124362E" w14:textId="08407C59" w:rsidR="002913DD" w:rsidRDefault="002913DD" w:rsidP="002913DD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i/>
          <w:iCs/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>
        <w:rPr>
          <w:color w:val="000000"/>
        </w:rPr>
        <w:t>6. LEA and tess3R ancestry coefficient bar</w:t>
      </w:r>
      <w:r w:rsidR="008B335C">
        <w:rPr>
          <w:color w:val="000000"/>
        </w:rPr>
        <w:t xml:space="preserve"> </w:t>
      </w:r>
      <w:r>
        <w:rPr>
          <w:color w:val="000000"/>
        </w:rPr>
        <w:t xml:space="preserve">plots for different numbers of genetic clusters (K) with different filtering thresholds for missing data when analyzing </w:t>
      </w:r>
      <w:r>
        <w:rPr>
          <w:i/>
          <w:iCs/>
          <w:color w:val="000000"/>
        </w:rPr>
        <w:t xml:space="preserve">Rana clamitans </w:t>
      </w:r>
      <w:r>
        <w:rPr>
          <w:color w:val="000000"/>
        </w:rPr>
        <w:t xml:space="preserve">and </w:t>
      </w:r>
      <w:r>
        <w:rPr>
          <w:i/>
          <w:iCs/>
          <w:color w:val="000000"/>
        </w:rPr>
        <w:t>R. okaloosae.</w:t>
      </w:r>
    </w:p>
    <w:p w14:paraId="77D6CBBB" w14:textId="6B161884" w:rsidR="008B335C" w:rsidRDefault="008B335C" w:rsidP="00974C5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>
        <w:rPr>
          <w:color w:val="000000"/>
        </w:rPr>
        <w:t xml:space="preserve">7. LEA sensitivity analyses with different </w:t>
      </w:r>
      <w:proofErr w:type="spellStart"/>
      <w:r w:rsidRPr="008B335C">
        <w:rPr>
          <w:color w:val="000000"/>
        </w:rPr>
        <w:t>snmf</w:t>
      </w:r>
      <w:proofErr w:type="spellEnd"/>
      <w:r w:rsidRPr="008B335C">
        <w:rPr>
          <w:color w:val="000000"/>
        </w:rPr>
        <w:t xml:space="preserve"> regularization parameter</w:t>
      </w:r>
      <w:r>
        <w:rPr>
          <w:color w:val="000000"/>
        </w:rPr>
        <w:t xml:space="preserve"> (alpha) values. Top row shows cross-entropy scores for different numbers of ancestral populations (K), bottom </w:t>
      </w:r>
      <w:r>
        <w:rPr>
          <w:color w:val="000000"/>
        </w:rPr>
        <w:lastRenderedPageBreak/>
        <w:t xml:space="preserve">row shows ancestry coefficient bar plots for different values of K. Dataset analyzed contained </w:t>
      </w:r>
      <w:r>
        <w:rPr>
          <w:i/>
          <w:iCs/>
          <w:color w:val="000000"/>
        </w:rPr>
        <w:t xml:space="preserve">Rana clamitans </w:t>
      </w:r>
      <w:r>
        <w:rPr>
          <w:color w:val="000000"/>
        </w:rPr>
        <w:t xml:space="preserve">and </w:t>
      </w:r>
      <w:r>
        <w:rPr>
          <w:i/>
          <w:iCs/>
          <w:color w:val="000000"/>
        </w:rPr>
        <w:t xml:space="preserve">R. okaloosae </w:t>
      </w:r>
      <w:r>
        <w:rPr>
          <w:color w:val="000000"/>
        </w:rPr>
        <w:t>samples with &lt;50% missing genotypes per SNP.</w:t>
      </w:r>
    </w:p>
    <w:p w14:paraId="6C3A9B85" w14:textId="1D01CFA2" w:rsidR="00582747" w:rsidRDefault="00974C52" w:rsidP="00974C5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 w:rsidR="00D00D34">
        <w:rPr>
          <w:color w:val="000000"/>
        </w:rPr>
        <w:t>8</w:t>
      </w:r>
      <w:r>
        <w:rPr>
          <w:color w:val="000000"/>
        </w:rPr>
        <w:t xml:space="preserve">. A) Ancestry coefficients from ddRAD genomic data using LEA and </w:t>
      </w:r>
      <w:r w:rsidR="00E004F2">
        <w:rPr>
          <w:color w:val="000000"/>
        </w:rPr>
        <w:t>t</w:t>
      </w:r>
      <w:r>
        <w:rPr>
          <w:color w:val="000000"/>
        </w:rPr>
        <w:t>ess3R suggest the highest support for K=</w:t>
      </w:r>
      <w:r w:rsidR="00F76CAC">
        <w:rPr>
          <w:color w:val="000000"/>
        </w:rPr>
        <w:t>3</w:t>
      </w:r>
      <w:r>
        <w:rPr>
          <w:color w:val="000000"/>
        </w:rPr>
        <w:t xml:space="preserve"> clusters </w:t>
      </w:r>
      <w:r w:rsidR="00F76CAC">
        <w:rPr>
          <w:color w:val="000000"/>
        </w:rPr>
        <w:t xml:space="preserve">when </w:t>
      </w:r>
      <w:r>
        <w:rPr>
          <w:i/>
          <w:color w:val="000000"/>
        </w:rPr>
        <w:t>R</w:t>
      </w:r>
      <w:r w:rsidR="00A87E21">
        <w:rPr>
          <w:i/>
          <w:color w:val="000000"/>
        </w:rPr>
        <w:t>ana</w:t>
      </w:r>
      <w:r>
        <w:rPr>
          <w:i/>
          <w:color w:val="000000"/>
        </w:rPr>
        <w:t xml:space="preserve"> okaloosae</w:t>
      </w:r>
      <w:r>
        <w:rPr>
          <w:color w:val="000000"/>
        </w:rPr>
        <w:t xml:space="preserve"> </w:t>
      </w:r>
      <w:r w:rsidR="00F76CAC">
        <w:rPr>
          <w:color w:val="000000"/>
        </w:rPr>
        <w:t xml:space="preserve">and </w:t>
      </w:r>
      <w:r w:rsidR="00F76CAC">
        <w:rPr>
          <w:i/>
          <w:iCs/>
          <w:color w:val="000000"/>
        </w:rPr>
        <w:t xml:space="preserve">R. clamitans </w:t>
      </w:r>
      <w:r w:rsidR="00F76CAC">
        <w:rPr>
          <w:color w:val="000000"/>
        </w:rPr>
        <w:t>are</w:t>
      </w:r>
      <w:r>
        <w:rPr>
          <w:color w:val="000000"/>
        </w:rPr>
        <w:t xml:space="preserve"> included in the analyses</w:t>
      </w:r>
      <w:r w:rsidR="00F76CAC">
        <w:rPr>
          <w:color w:val="000000"/>
        </w:rPr>
        <w:t xml:space="preserve">. </w:t>
      </w:r>
      <w:r>
        <w:rPr>
          <w:color w:val="000000"/>
        </w:rPr>
        <w:t xml:space="preserve">Results are generally concordant between LEA and </w:t>
      </w:r>
      <w:r w:rsidR="007400B0">
        <w:rPr>
          <w:color w:val="000000"/>
        </w:rPr>
        <w:t>t</w:t>
      </w:r>
      <w:r>
        <w:rPr>
          <w:color w:val="000000"/>
        </w:rPr>
        <w:t xml:space="preserve">ess3R. However, LEA identifies an admixed, putative hybrid </w:t>
      </w:r>
      <w:r>
        <w:rPr>
          <w:i/>
          <w:color w:val="000000"/>
        </w:rPr>
        <w:t>R. okaloosae</w:t>
      </w:r>
      <w:r>
        <w:rPr>
          <w:color w:val="000000"/>
        </w:rPr>
        <w:t xml:space="preserve"> sample</w:t>
      </w:r>
      <w:r w:rsidR="00325247">
        <w:rPr>
          <w:color w:val="000000"/>
        </w:rPr>
        <w:t xml:space="preserve"> (</w:t>
      </w:r>
      <w:proofErr w:type="spellStart"/>
      <w:r w:rsidR="00325247">
        <w:rPr>
          <w:color w:val="000000"/>
        </w:rPr>
        <w:t>RokaC_FL</w:t>
      </w:r>
      <w:proofErr w:type="spellEnd"/>
      <w:r w:rsidR="00325247">
        <w:rPr>
          <w:color w:val="000000"/>
        </w:rPr>
        <w:t>)</w:t>
      </w:r>
      <w:r>
        <w:rPr>
          <w:color w:val="000000"/>
        </w:rPr>
        <w:t xml:space="preserve">. </w:t>
      </w:r>
      <w:r w:rsidR="00F76CAC">
        <w:rPr>
          <w:color w:val="000000"/>
        </w:rPr>
        <w:t>B</w:t>
      </w:r>
      <w:r>
        <w:rPr>
          <w:color w:val="000000"/>
        </w:rPr>
        <w:t xml:space="preserve">) Interpolated ancestry coefficients for </w:t>
      </w:r>
      <w:r>
        <w:rPr>
          <w:i/>
          <w:color w:val="000000"/>
        </w:rPr>
        <w:t>R. clamitans</w:t>
      </w:r>
      <w:r>
        <w:rPr>
          <w:color w:val="000000"/>
        </w:rPr>
        <w:t xml:space="preserve"> and </w:t>
      </w:r>
      <w:r>
        <w:rPr>
          <w:i/>
          <w:color w:val="000000"/>
        </w:rPr>
        <w:t>R. okaloosae</w:t>
      </w:r>
      <w:r>
        <w:rPr>
          <w:color w:val="000000"/>
        </w:rPr>
        <w:t xml:space="preserve">. </w:t>
      </w:r>
      <w:r>
        <w:rPr>
          <w:i/>
          <w:color w:val="000000"/>
        </w:rPr>
        <w:t xml:space="preserve">Rana okaloosae </w:t>
      </w:r>
      <w:r>
        <w:rPr>
          <w:color w:val="000000"/>
        </w:rPr>
        <w:t xml:space="preserve">is identified as a distinct genetic cluster (pink). Within </w:t>
      </w:r>
      <w:r>
        <w:rPr>
          <w:i/>
          <w:color w:val="000000"/>
        </w:rPr>
        <w:t xml:space="preserve">R. clamitans, </w:t>
      </w:r>
      <w:r>
        <w:rPr>
          <w:color w:val="000000"/>
        </w:rPr>
        <w:t xml:space="preserve">ancestry appears clinal from southwest (orange) to northeast (green). </w:t>
      </w:r>
    </w:p>
    <w:p w14:paraId="045A6349" w14:textId="705CF875" w:rsidR="00582747" w:rsidRPr="00E028B0" w:rsidRDefault="00582747" w:rsidP="00974C5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  <w:r>
        <w:rPr>
          <w:color w:val="000000"/>
        </w:rPr>
        <w:t xml:space="preserve">Figure </w:t>
      </w:r>
      <w:r w:rsidR="00151848">
        <w:rPr>
          <w:color w:val="000000"/>
        </w:rPr>
        <w:t>S</w:t>
      </w:r>
      <w:r w:rsidR="005F4946">
        <w:rPr>
          <w:color w:val="000000"/>
        </w:rPr>
        <w:t>9</w:t>
      </w:r>
      <w:r>
        <w:rPr>
          <w:color w:val="000000"/>
        </w:rPr>
        <w:t>.</w:t>
      </w:r>
      <w:r w:rsidR="00E028B0">
        <w:rPr>
          <w:color w:val="000000"/>
        </w:rPr>
        <w:t xml:space="preserve"> TreeMix results for</w:t>
      </w:r>
      <w:r w:rsidR="00151848">
        <w:rPr>
          <w:color w:val="000000"/>
        </w:rPr>
        <w:t xml:space="preserve"> three datasets:</w:t>
      </w:r>
      <w:r w:rsidR="00E028B0">
        <w:rPr>
          <w:color w:val="000000"/>
        </w:rPr>
        <w:t xml:space="preserve"> </w:t>
      </w:r>
      <w:r w:rsidR="00E028B0" w:rsidRPr="00EB3703">
        <w:rPr>
          <w:i/>
          <w:iCs/>
          <w:color w:val="000000"/>
        </w:rPr>
        <w:t>Aquarana</w:t>
      </w:r>
      <w:r w:rsidR="00151848">
        <w:rPr>
          <w:color w:val="000000"/>
        </w:rPr>
        <w:t xml:space="preserve">, </w:t>
      </w:r>
      <w:r w:rsidR="00151848">
        <w:rPr>
          <w:i/>
          <w:iCs/>
          <w:color w:val="000000"/>
        </w:rPr>
        <w:t xml:space="preserve">R. okaloosae </w:t>
      </w:r>
      <w:r w:rsidR="00151848">
        <w:rPr>
          <w:color w:val="000000"/>
        </w:rPr>
        <w:t xml:space="preserve">plus four </w:t>
      </w:r>
      <w:r w:rsidR="00151848">
        <w:rPr>
          <w:i/>
          <w:iCs/>
          <w:color w:val="000000"/>
        </w:rPr>
        <w:t xml:space="preserve">R. clamitans </w:t>
      </w:r>
      <w:r w:rsidR="00151848">
        <w:rPr>
          <w:color w:val="000000"/>
        </w:rPr>
        <w:t xml:space="preserve">clades, and </w:t>
      </w:r>
      <w:r w:rsidR="00151848">
        <w:rPr>
          <w:i/>
          <w:iCs/>
          <w:color w:val="000000"/>
        </w:rPr>
        <w:t xml:space="preserve">R. okaloosae </w:t>
      </w:r>
      <w:r w:rsidR="00151848">
        <w:rPr>
          <w:color w:val="000000"/>
        </w:rPr>
        <w:t xml:space="preserve">plus four </w:t>
      </w:r>
      <w:r w:rsidR="00151848">
        <w:rPr>
          <w:i/>
          <w:iCs/>
          <w:color w:val="000000"/>
        </w:rPr>
        <w:t xml:space="preserve">R. clamitans </w:t>
      </w:r>
      <w:r w:rsidR="00151848">
        <w:rPr>
          <w:color w:val="000000"/>
        </w:rPr>
        <w:t>genetic clusters (see Table S3 for sampling details)</w:t>
      </w:r>
      <w:r w:rsidR="00E028B0">
        <w:rPr>
          <w:color w:val="000000"/>
        </w:rPr>
        <w:t xml:space="preserve">. </w:t>
      </w:r>
      <w:r w:rsidR="004571D8">
        <w:rPr>
          <w:color w:val="000000"/>
        </w:rPr>
        <w:t xml:space="preserve">Within each column, </w:t>
      </w:r>
      <w:r w:rsidR="00E028B0">
        <w:rPr>
          <w:color w:val="000000"/>
        </w:rPr>
        <w:t>row</w:t>
      </w:r>
      <w:r w:rsidR="004571D8">
        <w:rPr>
          <w:color w:val="000000"/>
        </w:rPr>
        <w:t>s</w:t>
      </w:r>
      <w:r w:rsidR="00E028B0">
        <w:rPr>
          <w:color w:val="000000"/>
        </w:rPr>
        <w:t xml:space="preserve"> </w:t>
      </w:r>
      <w:r w:rsidR="004571D8">
        <w:rPr>
          <w:color w:val="000000"/>
        </w:rPr>
        <w:t>represent</w:t>
      </w:r>
      <w:r w:rsidR="00E028B0">
        <w:rPr>
          <w:color w:val="000000"/>
        </w:rPr>
        <w:t xml:space="preserve"> separate set</w:t>
      </w:r>
      <w:r w:rsidR="004571D8">
        <w:rPr>
          <w:color w:val="000000"/>
        </w:rPr>
        <w:t>s</w:t>
      </w:r>
      <w:r w:rsidR="00E028B0">
        <w:rPr>
          <w:color w:val="000000"/>
        </w:rPr>
        <w:t xml:space="preserve"> of analyses using 100 random, unlinked SNP subsets with</w:t>
      </w:r>
      <w:r w:rsidR="001129DF">
        <w:rPr>
          <w:color w:val="000000"/>
        </w:rPr>
        <w:t xml:space="preserve"> a</w:t>
      </w:r>
      <w:r w:rsidR="00E028B0">
        <w:rPr>
          <w:color w:val="000000"/>
        </w:rPr>
        <w:t xml:space="preserve"> different maximum allowed number of migration edges. Phylogenies match the ML ddRAD topology, with admixture edges represented by colored lines.</w:t>
      </w:r>
      <w:r w:rsidR="00151848">
        <w:rPr>
          <w:color w:val="000000"/>
        </w:rPr>
        <w:t xml:space="preserve"> Note that colors are only consistent within columns.</w:t>
      </w:r>
      <w:r w:rsidR="00E028B0">
        <w:rPr>
          <w:color w:val="000000"/>
        </w:rPr>
        <w:t xml:space="preserve"> Bar plots show the proportion of random</w:t>
      </w:r>
      <w:r w:rsidR="00D9463E">
        <w:rPr>
          <w:color w:val="000000"/>
        </w:rPr>
        <w:t xml:space="preserve"> </w:t>
      </w:r>
      <w:r w:rsidR="00E028B0">
        <w:rPr>
          <w:color w:val="000000"/>
        </w:rPr>
        <w:t>SNP subsets that</w:t>
      </w:r>
      <w:r w:rsidR="001129DF">
        <w:rPr>
          <w:color w:val="000000"/>
        </w:rPr>
        <w:t xml:space="preserve"> support each migration edge. Boxplots show the distribution of inferred migration weights for each migration edge.</w:t>
      </w:r>
      <w:r w:rsidR="00404C2E">
        <w:rPr>
          <w:color w:val="000000"/>
        </w:rPr>
        <w:t xml:space="preserve"> Only migration edges that were </w:t>
      </w:r>
      <w:r w:rsidR="0028294C">
        <w:rPr>
          <w:color w:val="000000"/>
        </w:rPr>
        <w:t>supported</w:t>
      </w:r>
      <w:r w:rsidR="00404C2E">
        <w:rPr>
          <w:color w:val="000000"/>
        </w:rPr>
        <w:t xml:space="preserve"> by &gt;10% of </w:t>
      </w:r>
      <w:r w:rsidR="00D9463E">
        <w:rPr>
          <w:color w:val="000000"/>
        </w:rPr>
        <w:t xml:space="preserve">random </w:t>
      </w:r>
      <w:r w:rsidR="00404C2E">
        <w:rPr>
          <w:color w:val="000000"/>
        </w:rPr>
        <w:t>SNP subsets are displayed.</w:t>
      </w:r>
      <w:r w:rsidR="00E028B0">
        <w:rPr>
          <w:color w:val="000000"/>
        </w:rPr>
        <w:t xml:space="preserve">  </w:t>
      </w:r>
    </w:p>
    <w:p w14:paraId="039652B4" w14:textId="3411FB9E" w:rsidR="00AE0F36" w:rsidRDefault="00AE0F36" w:rsidP="00C7091D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color w:val="000000"/>
        </w:rPr>
      </w:pPr>
    </w:p>
    <w:p w14:paraId="2DC7DE7C" w14:textId="77777777" w:rsidR="00862774" w:rsidRDefault="00862774"/>
    <w:sectPr w:rsidR="008627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E403" w14:textId="77777777" w:rsidR="00E55A49" w:rsidRDefault="00E55A49">
      <w:r>
        <w:separator/>
      </w:r>
    </w:p>
  </w:endnote>
  <w:endnote w:type="continuationSeparator" w:id="0">
    <w:p w14:paraId="1AAB88F0" w14:textId="77777777" w:rsidR="00E55A49" w:rsidRDefault="00E5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DB5" w14:textId="77777777" w:rsidR="004208D6" w:rsidRDefault="00C709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8203" w14:textId="77777777" w:rsidR="00E55A49" w:rsidRDefault="00E55A49">
      <w:r>
        <w:separator/>
      </w:r>
    </w:p>
  </w:footnote>
  <w:footnote w:type="continuationSeparator" w:id="0">
    <w:p w14:paraId="0BD26569" w14:textId="77777777" w:rsidR="00E55A49" w:rsidRDefault="00E5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65E1" w14:textId="77777777" w:rsidR="004208D6" w:rsidRDefault="00E55A4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3NDQ0MDYzMzQwNDZU0lEKTi0uzszPAykwNKgFADGoGdItAAAA"/>
  </w:docVars>
  <w:rsids>
    <w:rsidRoot w:val="00C7091D"/>
    <w:rsid w:val="001129DF"/>
    <w:rsid w:val="00151848"/>
    <w:rsid w:val="00174C56"/>
    <w:rsid w:val="0028294C"/>
    <w:rsid w:val="002913DD"/>
    <w:rsid w:val="002A524F"/>
    <w:rsid w:val="002A79E5"/>
    <w:rsid w:val="002C75A6"/>
    <w:rsid w:val="00325247"/>
    <w:rsid w:val="00404C2E"/>
    <w:rsid w:val="004571D8"/>
    <w:rsid w:val="00582747"/>
    <w:rsid w:val="005F4946"/>
    <w:rsid w:val="007400B0"/>
    <w:rsid w:val="008331DD"/>
    <w:rsid w:val="008546C1"/>
    <w:rsid w:val="00862774"/>
    <w:rsid w:val="008B335C"/>
    <w:rsid w:val="00974C52"/>
    <w:rsid w:val="00A53F82"/>
    <w:rsid w:val="00A77EFC"/>
    <w:rsid w:val="00A81974"/>
    <w:rsid w:val="00A87E21"/>
    <w:rsid w:val="00AE0F36"/>
    <w:rsid w:val="00BE3CEC"/>
    <w:rsid w:val="00C7091D"/>
    <w:rsid w:val="00D00D34"/>
    <w:rsid w:val="00D1476B"/>
    <w:rsid w:val="00D37EFE"/>
    <w:rsid w:val="00D6214A"/>
    <w:rsid w:val="00D9463E"/>
    <w:rsid w:val="00DE31E2"/>
    <w:rsid w:val="00E004F2"/>
    <w:rsid w:val="00E028B0"/>
    <w:rsid w:val="00E55A49"/>
    <w:rsid w:val="00EB3703"/>
    <w:rsid w:val="00F07040"/>
    <w:rsid w:val="00F55BB8"/>
    <w:rsid w:val="00F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E42B"/>
  <w15:chartTrackingRefBased/>
  <w15:docId w15:val="{29D1DC67-2367-4D57-B2AF-1C576D65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MacGuigan</dc:creator>
  <cp:keywords/>
  <dc:description/>
  <cp:lastModifiedBy>dm733</cp:lastModifiedBy>
  <cp:revision>27</cp:revision>
  <dcterms:created xsi:type="dcterms:W3CDTF">2020-12-18T18:51:00Z</dcterms:created>
  <dcterms:modified xsi:type="dcterms:W3CDTF">2022-04-14T21:24:00Z</dcterms:modified>
</cp:coreProperties>
</file>