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3EE9F" w14:textId="572C59B8" w:rsidR="00915909" w:rsidRDefault="00805F1B" w:rsidP="00915909">
      <w:r>
        <w:t>Appendix 3</w:t>
      </w:r>
      <w:r w:rsidR="00915909">
        <w:t>: Outlier effect on population growth by source population.</w:t>
      </w:r>
    </w:p>
    <w:p w14:paraId="6B560C39" w14:textId="77777777" w:rsidR="00915909" w:rsidRDefault="00915909">
      <w:r>
        <w:t xml:space="preserve">From </w:t>
      </w:r>
      <w:proofErr w:type="spellStart"/>
      <w:r>
        <w:t>Copei</w:t>
      </w:r>
      <w:bookmarkStart w:id="0" w:name="_GoBack"/>
      <w:bookmarkEnd w:id="0"/>
      <w:r>
        <w:t>a</w:t>
      </w:r>
      <w:proofErr w:type="spellEnd"/>
      <w:r>
        <w:t xml:space="preserve"> manuscript “</w:t>
      </w:r>
      <w:r w:rsidRPr="00915909">
        <w:t>Warming Strengthens the Ecological Role of Intraspecific Variation in a Predator</w:t>
      </w:r>
      <w:r>
        <w:t>”</w:t>
      </w:r>
    </w:p>
    <w:p w14:paraId="5F1FC4F7" w14:textId="77777777" w:rsidR="00915909" w:rsidRDefault="00915909">
      <w:r>
        <w:t xml:space="preserve">David C. </w:t>
      </w:r>
      <w:proofErr w:type="spellStart"/>
      <w:r>
        <w:t>Fryxell</w:t>
      </w:r>
      <w:proofErr w:type="spellEnd"/>
      <w:r>
        <w:t xml:space="preserve"> and Eric P. </w:t>
      </w:r>
      <w:proofErr w:type="spellStart"/>
      <w:r>
        <w:t>Palkovacs</w:t>
      </w:r>
      <w:proofErr w:type="spellEnd"/>
    </w:p>
    <w:p w14:paraId="60D4250D" w14:textId="77777777" w:rsidR="00313BA3" w:rsidRDefault="00313BA3"/>
    <w:p w14:paraId="459E3E16" w14:textId="77777777" w:rsidR="00313BA3" w:rsidRDefault="00313BA3">
      <w:r>
        <w:t>In predicting fish population growth by fish source population and warming treatments, there were a few clear</w:t>
      </w:r>
      <w:r w:rsidR="00204D1A">
        <w:t xml:space="preserve"> outliers – </w:t>
      </w:r>
      <w:proofErr w:type="spellStart"/>
      <w:r w:rsidR="00204D1A">
        <w:t>mesocosm</w:t>
      </w:r>
      <w:proofErr w:type="spellEnd"/>
      <w:r w:rsidR="00204D1A">
        <w:t xml:space="preserve"> numbers 6 (replicate of </w:t>
      </w:r>
      <w:proofErr w:type="spellStart"/>
      <w:r w:rsidR="00204D1A">
        <w:t>unwarmed</w:t>
      </w:r>
      <w:proofErr w:type="spellEnd"/>
      <w:r w:rsidR="00204D1A">
        <w:t xml:space="preserve"> temperature, warm-source population) and 10 (replicate of warmed temperature, cool-source population)</w:t>
      </w:r>
      <w:r w:rsidR="009842CD">
        <w:t xml:space="preserve"> (Fig. S1)</w:t>
      </w:r>
      <w:r w:rsidR="00204D1A">
        <w:t>. These outliers were removed to un</w:t>
      </w:r>
      <w:r w:rsidR="004773B2">
        <w:t xml:space="preserve">derstand trends </w:t>
      </w:r>
      <w:r w:rsidR="009842CD">
        <w:t>in their absence</w:t>
      </w:r>
      <w:r w:rsidR="004773B2">
        <w:t xml:space="preserve">, and to conform to assumptions of ANOVA. </w:t>
      </w:r>
      <w:r w:rsidR="009842CD">
        <w:t xml:space="preserve">Log10 transformation of fish population growth helped reduce the problem, but still led to </w:t>
      </w:r>
      <w:proofErr w:type="spellStart"/>
      <w:r w:rsidR="009842CD">
        <w:t>mesocosm</w:t>
      </w:r>
      <w:proofErr w:type="spellEnd"/>
      <w:r w:rsidR="009842CD">
        <w:t xml:space="preserve"> 6 being a strong outlier. </w:t>
      </w:r>
      <w:r w:rsidR="004773B2">
        <w:t xml:space="preserve">These high value outliers could have occurred </w:t>
      </w:r>
      <w:r w:rsidR="007230E7">
        <w:t xml:space="preserve">via birth </w:t>
      </w:r>
      <w:r w:rsidR="004773B2">
        <w:t xml:space="preserve">1) early in the experiment, where resource </w:t>
      </w:r>
      <w:r w:rsidR="007230E7">
        <w:t>availability</w:t>
      </w:r>
      <w:r w:rsidR="004773B2">
        <w:t xml:space="preserve"> was high and cannibalism rates were thus low, or 2) lat</w:t>
      </w:r>
      <w:r w:rsidR="007230E7">
        <w:t>e in the experiment if a female</w:t>
      </w:r>
      <w:r w:rsidR="004773B2">
        <w:t xml:space="preserve"> gave birth to a brood immediately before fish were collected and euthanized at the end of the experiment</w:t>
      </w:r>
      <w:r w:rsidR="003F3BB9">
        <w:t>, before they could be cannibalized</w:t>
      </w:r>
      <w:r w:rsidR="004773B2">
        <w:t xml:space="preserve">. </w:t>
      </w:r>
      <w:r w:rsidR="009842CD">
        <w:t xml:space="preserve">Offspring sizes in these </w:t>
      </w:r>
      <w:proofErr w:type="spellStart"/>
      <w:r w:rsidR="009842CD">
        <w:t>mesocosms</w:t>
      </w:r>
      <w:proofErr w:type="spellEnd"/>
      <w:r w:rsidR="009842CD">
        <w:t xml:space="preserve"> suggest the former. In most cases, fish source population significant predicted population growth (Tables S1-4).</w:t>
      </w:r>
    </w:p>
    <w:p w14:paraId="62C0AE14" w14:textId="77777777" w:rsidR="004773B2" w:rsidRDefault="004773B2"/>
    <w:p w14:paraId="14E3182D" w14:textId="77777777" w:rsidR="00313BA3" w:rsidRDefault="00313BA3">
      <w:r w:rsidRPr="00313BA3">
        <w:rPr>
          <w:noProof/>
        </w:rPr>
        <w:drawing>
          <wp:inline distT="0" distB="0" distL="0" distR="0" wp14:anchorId="298D6595" wp14:editId="307EC21F">
            <wp:extent cx="3200847" cy="25721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320D4" w14:textId="77777777" w:rsidR="00313BA3" w:rsidRDefault="00313BA3">
      <w:r>
        <w:t xml:space="preserve">Fig </w:t>
      </w:r>
      <w:r w:rsidR="00ED5909">
        <w:t>S</w:t>
      </w:r>
      <w:r w:rsidR="00D87AD1">
        <w:t>1</w:t>
      </w:r>
      <w:r>
        <w:t>. Actual versus predicted plot from a 2x2 ANOVA of warming and source population predicting the number of immature fish (“</w:t>
      </w:r>
      <w:proofErr w:type="spellStart"/>
      <w:r>
        <w:t>nimmature</w:t>
      </w:r>
      <w:proofErr w:type="spellEnd"/>
      <w:r>
        <w:t>,” i.e. number of offspring). Two large outliers are seen towards the top of the graph.</w:t>
      </w:r>
      <w:r w:rsidR="007230E7">
        <w:t xml:space="preserve"> The top left outlier is </w:t>
      </w:r>
      <w:proofErr w:type="spellStart"/>
      <w:r w:rsidR="007230E7">
        <w:t>mesocosm</w:t>
      </w:r>
      <w:proofErr w:type="spellEnd"/>
      <w:r w:rsidR="007230E7">
        <w:t xml:space="preserve"> #6 and the top right is </w:t>
      </w:r>
      <w:proofErr w:type="spellStart"/>
      <w:r w:rsidR="007230E7">
        <w:t>mesocosm</w:t>
      </w:r>
      <w:proofErr w:type="spellEnd"/>
      <w:r w:rsidR="007230E7">
        <w:t xml:space="preserve"> #10.</w:t>
      </w:r>
    </w:p>
    <w:p w14:paraId="49AF64D8" w14:textId="77777777" w:rsidR="00313BA3" w:rsidRDefault="00313BA3"/>
    <w:p w14:paraId="68BC87A9" w14:textId="77777777" w:rsidR="009842CD" w:rsidRDefault="009842CD"/>
    <w:p w14:paraId="23AD4C64" w14:textId="77777777" w:rsidR="00204D1A" w:rsidRDefault="00204D1A">
      <w:r>
        <w:t xml:space="preserve">Table S1. Summary of ANOVA without removing outliers. </w:t>
      </w:r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5"/>
        <w:gridCol w:w="815"/>
        <w:gridCol w:w="560"/>
        <w:gridCol w:w="1145"/>
        <w:gridCol w:w="950"/>
        <w:gridCol w:w="950"/>
        <w:gridCol w:w="1160"/>
      </w:tblGrid>
      <w:tr w:rsidR="00204D1A" w14:paraId="6FE739C6" w14:textId="77777777">
        <w:trPr>
          <w:tblHeader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A5864AE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C1B4492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Nparm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D227B50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EE1A9F2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2416263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F Ratio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1682FA7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&gt; 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F902A4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4D1A" w14:paraId="4CDF6349" w14:textId="77777777"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14A045DC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temptreat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63A4D62C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5B93A3D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6DFC1158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176.04167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7A325F57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1.5302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79808EE7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0.2304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3F72F53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204D1A" w14:paraId="55104763" w14:textId="77777777"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30F0C315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fishtreat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1F78D51F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994CD97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5CA0170F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222.04167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04A1885F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1.9301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43F969E5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0.1800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26057AC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204D1A" w14:paraId="2F6226E3" w14:textId="77777777"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6C8F7C00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temptreat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*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fishtreat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57950070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A3EAD05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2180549D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187.04167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533ABC90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1.6259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0F60BCA1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0.2169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0D311793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14:paraId="637AAD0D" w14:textId="77777777" w:rsidR="00204D1A" w:rsidRDefault="00204D1A"/>
    <w:p w14:paraId="744DBCB6" w14:textId="77777777" w:rsidR="00204D1A" w:rsidRDefault="00204D1A">
      <w:r>
        <w:t xml:space="preserve">Table S2. Summary of ANOVA with removal of </w:t>
      </w:r>
      <w:proofErr w:type="spellStart"/>
      <w:r>
        <w:t>mesocosm</w:t>
      </w:r>
      <w:proofErr w:type="spellEnd"/>
      <w:r>
        <w:t xml:space="preserve"> #6.</w:t>
      </w:r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5"/>
        <w:gridCol w:w="815"/>
        <w:gridCol w:w="560"/>
        <w:gridCol w:w="1145"/>
        <w:gridCol w:w="950"/>
        <w:gridCol w:w="950"/>
        <w:gridCol w:w="1160"/>
      </w:tblGrid>
      <w:tr w:rsidR="00204D1A" w14:paraId="0965829D" w14:textId="77777777">
        <w:trPr>
          <w:tblHeader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54D8F05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B74AB39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Nparm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5D9A5EF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BFC852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D74CD6E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F Ratio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F9AE0E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&gt; 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99738AA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4D1A" w14:paraId="7EE7D7AB" w14:textId="77777777"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165084FF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temptreat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A0AFAD0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244BEAE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2253C6C5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416.10159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02FD37D5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6.9644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47539CB4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F03246"/>
                <w:sz w:val="18"/>
                <w:szCs w:val="18"/>
              </w:rPr>
            </w:pPr>
            <w:r>
              <w:rPr>
                <w:rFonts w:ascii="Segoe UI" w:hAnsi="Segoe UI" w:cs="Segoe UI"/>
                <w:color w:val="F03246"/>
                <w:sz w:val="18"/>
                <w:szCs w:val="18"/>
              </w:rPr>
              <w:t>0.0162*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DAF7351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204D1A" w14:paraId="7A3B2AD3" w14:textId="77777777"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1F49B508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fishtreat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69B2BBC3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8DA091A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2F9BD515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483.65714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084A47AC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8.0950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24AC3813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F03246"/>
                <w:sz w:val="18"/>
                <w:szCs w:val="18"/>
              </w:rPr>
            </w:pPr>
            <w:r>
              <w:rPr>
                <w:rFonts w:ascii="Segoe UI" w:hAnsi="Segoe UI" w:cs="Segoe UI"/>
                <w:color w:val="F03246"/>
                <w:sz w:val="18"/>
                <w:szCs w:val="18"/>
              </w:rPr>
              <w:t>0.0104*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DEFF948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204D1A" w14:paraId="2BC21CF4" w14:textId="77777777"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4AE6E19B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temptreat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*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fishtreat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1669C204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244CA99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541D43CB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34.76825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01BEB876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0.5819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0CB7480F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0.4549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E541BF9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14:paraId="50DD90C9" w14:textId="77777777" w:rsidR="00204D1A" w:rsidRDefault="00204D1A"/>
    <w:p w14:paraId="5F08482F" w14:textId="77777777" w:rsidR="00204D1A" w:rsidRDefault="00204D1A">
      <w:r>
        <w:t>Table S3. Summary of ANOVA with removal of both outliers.</w:t>
      </w:r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5"/>
        <w:gridCol w:w="815"/>
        <w:gridCol w:w="560"/>
        <w:gridCol w:w="1145"/>
        <w:gridCol w:w="950"/>
        <w:gridCol w:w="950"/>
        <w:gridCol w:w="1160"/>
      </w:tblGrid>
      <w:tr w:rsidR="00204D1A" w14:paraId="3B388C7F" w14:textId="77777777">
        <w:trPr>
          <w:tblHeader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BC612C2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8CA7497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Nparm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9E7B612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940BBFC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3789E85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F Ratio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566246B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&gt; 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A8FD704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4D1A" w14:paraId="2908FE72" w14:textId="77777777"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0372A807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temptreat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60A4B762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A1C1633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128C7613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207.42424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319A7EAF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8.0628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0EFAD9DE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F03246"/>
                <w:sz w:val="18"/>
                <w:szCs w:val="18"/>
              </w:rPr>
            </w:pPr>
            <w:r>
              <w:rPr>
                <w:rFonts w:ascii="Segoe UI" w:hAnsi="Segoe UI" w:cs="Segoe UI"/>
                <w:color w:val="F03246"/>
                <w:sz w:val="18"/>
                <w:szCs w:val="18"/>
              </w:rPr>
              <w:t>0.0109*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4884C867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204D1A" w14:paraId="660D0B4B" w14:textId="77777777"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59162BE3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fishtreat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29E8073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5B2A593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4186E486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254.69697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6EF9C6A3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9.9004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7F4652DF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E57406"/>
                <w:sz w:val="18"/>
                <w:szCs w:val="18"/>
              </w:rPr>
            </w:pPr>
            <w:r>
              <w:rPr>
                <w:rFonts w:ascii="Segoe UI" w:hAnsi="Segoe UI" w:cs="Segoe UI"/>
                <w:color w:val="E57406"/>
                <w:sz w:val="18"/>
                <w:szCs w:val="18"/>
              </w:rPr>
              <w:t>0.0056*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47E6385C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204D1A" w14:paraId="61B0E16E" w14:textId="77777777"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1D772F57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temptreat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*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fishtreat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005FD016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6BE874C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06596E5E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0.05455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2FEBC279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0.0021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029069E3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0.9638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93AD957" w14:textId="77777777" w:rsidR="00204D1A" w:rsidRDefault="0020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14:paraId="59C52F6C" w14:textId="77777777" w:rsidR="00204D1A" w:rsidRDefault="00204D1A"/>
    <w:p w14:paraId="7CB922BD" w14:textId="77777777" w:rsidR="00313BA3" w:rsidRDefault="009842CD">
      <w:r>
        <w:t xml:space="preserve">Table S4. Summary of ANOVA predicting log10 transformed population growth, without outliers removed. </w:t>
      </w:r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5"/>
        <w:gridCol w:w="815"/>
        <w:gridCol w:w="560"/>
        <w:gridCol w:w="1145"/>
        <w:gridCol w:w="950"/>
        <w:gridCol w:w="950"/>
        <w:gridCol w:w="1160"/>
      </w:tblGrid>
      <w:tr w:rsidR="009842CD" w14:paraId="1121188A" w14:textId="77777777">
        <w:trPr>
          <w:tblHeader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576AB10" w14:textId="77777777" w:rsidR="009842CD" w:rsidRDefault="0098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48D6F24" w14:textId="77777777" w:rsidR="009842CD" w:rsidRDefault="00984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Nparm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0ED61E4" w14:textId="77777777" w:rsidR="009842CD" w:rsidRDefault="00984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DD128F0" w14:textId="77777777" w:rsidR="009842CD" w:rsidRDefault="00984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C1C7978" w14:textId="77777777" w:rsidR="009842CD" w:rsidRDefault="00984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F Ratio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B6CDB37" w14:textId="77777777" w:rsidR="009842CD" w:rsidRDefault="00984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&gt; 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22B907" w14:textId="77777777" w:rsidR="009842CD" w:rsidRDefault="0098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42CD" w14:paraId="683F90BD" w14:textId="77777777"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3DB71530" w14:textId="77777777" w:rsidR="009842CD" w:rsidRDefault="0098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temptreat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33B4AEFA" w14:textId="77777777" w:rsidR="009842CD" w:rsidRDefault="00984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35A96CCF" w14:textId="77777777" w:rsidR="009842CD" w:rsidRDefault="00984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3FC01FAF" w14:textId="77777777" w:rsidR="009842CD" w:rsidRDefault="00984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0.25453302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488C5849" w14:textId="77777777" w:rsidR="009842CD" w:rsidRDefault="00984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1.8864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4B23CEF2" w14:textId="77777777" w:rsidR="009842CD" w:rsidRDefault="00984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0.1865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37C6FF5E" w14:textId="77777777" w:rsidR="009842CD" w:rsidRDefault="0098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42CD" w14:paraId="041DBF9B" w14:textId="77777777"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69A08976" w14:textId="77777777" w:rsidR="009842CD" w:rsidRDefault="0098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fishtreat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EC655CC" w14:textId="77777777" w:rsidR="009842CD" w:rsidRDefault="00984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9D65C76" w14:textId="77777777" w:rsidR="009842CD" w:rsidRDefault="00984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1FA5DD2E" w14:textId="77777777" w:rsidR="009842CD" w:rsidRDefault="00984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0.79965253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3922FE09" w14:textId="77777777" w:rsidR="009842CD" w:rsidRDefault="00984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5.9265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0E786E52" w14:textId="77777777" w:rsidR="009842CD" w:rsidRDefault="00984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F03246"/>
                <w:sz w:val="18"/>
                <w:szCs w:val="18"/>
              </w:rPr>
            </w:pPr>
            <w:r>
              <w:rPr>
                <w:rFonts w:ascii="Segoe UI" w:hAnsi="Segoe UI" w:cs="Segoe UI"/>
                <w:color w:val="F03246"/>
                <w:sz w:val="18"/>
                <w:szCs w:val="18"/>
              </w:rPr>
              <w:t>0.0256*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3D2D0B78" w14:textId="77777777" w:rsidR="009842CD" w:rsidRDefault="0098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842CD" w14:paraId="743B73E7" w14:textId="77777777"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044C5BF4" w14:textId="77777777" w:rsidR="009842CD" w:rsidRDefault="0098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temptreat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*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fishtreat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00704D6D" w14:textId="77777777" w:rsidR="009842CD" w:rsidRDefault="00984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F570165" w14:textId="77777777" w:rsidR="009842CD" w:rsidRDefault="00984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77DD85BC" w14:textId="77777777" w:rsidR="009842CD" w:rsidRDefault="00984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0.00373805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08608765" w14:textId="77777777" w:rsidR="009842CD" w:rsidRDefault="00984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0.0277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7A36D82C" w14:textId="77777777" w:rsidR="009842CD" w:rsidRDefault="00984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0.8697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5100FD0" w14:textId="77777777" w:rsidR="009842CD" w:rsidRDefault="0098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14:paraId="27DA60DA" w14:textId="77777777" w:rsidR="009842CD" w:rsidRDefault="009842CD"/>
    <w:p w14:paraId="7FC24F74" w14:textId="77777777" w:rsidR="00313BA3" w:rsidRDefault="00313BA3"/>
    <w:p w14:paraId="5C6F0130" w14:textId="77777777" w:rsidR="00313BA3" w:rsidRDefault="00313BA3"/>
    <w:sectPr w:rsidR="00313B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0B344" w14:textId="77777777" w:rsidR="00724286" w:rsidRDefault="00724286" w:rsidP="00915909">
      <w:pPr>
        <w:spacing w:after="0" w:line="240" w:lineRule="auto"/>
      </w:pPr>
      <w:r>
        <w:separator/>
      </w:r>
    </w:p>
  </w:endnote>
  <w:endnote w:type="continuationSeparator" w:id="0">
    <w:p w14:paraId="0A98FFB7" w14:textId="77777777" w:rsidR="00724286" w:rsidRDefault="00724286" w:rsidP="0091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0B2B5" w14:textId="77777777" w:rsidR="00724286" w:rsidRDefault="00724286" w:rsidP="00915909">
      <w:pPr>
        <w:spacing w:after="0" w:line="240" w:lineRule="auto"/>
      </w:pPr>
      <w:r>
        <w:separator/>
      </w:r>
    </w:p>
  </w:footnote>
  <w:footnote w:type="continuationSeparator" w:id="0">
    <w:p w14:paraId="26F8620E" w14:textId="77777777" w:rsidR="00724286" w:rsidRDefault="00724286" w:rsidP="0091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E0B58" w14:textId="6B38AD3E" w:rsidR="00915909" w:rsidRDefault="00915909">
    <w:pPr>
      <w:pStyle w:val="Header"/>
    </w:pPr>
    <w:r>
      <w:t>A</w:t>
    </w:r>
    <w:r w:rsidR="00805F1B">
      <w:t>ppendix 3</w:t>
    </w:r>
    <w:r>
      <w:t>: Warming Mediates Predator Trait Effects</w:t>
    </w:r>
    <w:r>
      <w:ptab w:relativeTo="margin" w:alignment="right" w:leader="none"/>
    </w:r>
    <w:proofErr w:type="spellStart"/>
    <w:r>
      <w:t>Fryxell</w:t>
    </w:r>
    <w:proofErr w:type="spellEnd"/>
    <w:r>
      <w:t xml:space="preserve"> and </w:t>
    </w:r>
    <w:proofErr w:type="spellStart"/>
    <w:r>
      <w:t>Palkovacs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A3"/>
    <w:rsid w:val="00204D1A"/>
    <w:rsid w:val="0029508A"/>
    <w:rsid w:val="00313BA3"/>
    <w:rsid w:val="003F3BB9"/>
    <w:rsid w:val="004773B2"/>
    <w:rsid w:val="007230E7"/>
    <w:rsid w:val="00724286"/>
    <w:rsid w:val="007B1002"/>
    <w:rsid w:val="00805F1B"/>
    <w:rsid w:val="00915909"/>
    <w:rsid w:val="009842CD"/>
    <w:rsid w:val="00D4341D"/>
    <w:rsid w:val="00D86A7B"/>
    <w:rsid w:val="00D87AD1"/>
    <w:rsid w:val="00ED5909"/>
    <w:rsid w:val="00F86789"/>
    <w:rsid w:val="00FB06CA"/>
    <w:rsid w:val="00F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435E9"/>
  <w15:chartTrackingRefBased/>
  <w15:docId w15:val="{78213CAB-05AE-4B98-9944-71638DEA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909"/>
  </w:style>
  <w:style w:type="paragraph" w:styleId="Footer">
    <w:name w:val="footer"/>
    <w:basedOn w:val="Normal"/>
    <w:link w:val="FooterChar"/>
    <w:uiPriority w:val="99"/>
    <w:unhideWhenUsed/>
    <w:rsid w:val="0091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380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Smith, Wm Leo</cp:lastModifiedBy>
  <cp:revision>6</cp:revision>
  <dcterms:created xsi:type="dcterms:W3CDTF">2017-01-16T19:46:00Z</dcterms:created>
  <dcterms:modified xsi:type="dcterms:W3CDTF">2017-08-17T17:26:00Z</dcterms:modified>
</cp:coreProperties>
</file>