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6F" w:rsidRDefault="001D568C">
      <w:pPr>
        <w:pStyle w:val="Title"/>
      </w:pPr>
      <w:r>
        <w:t xml:space="preserve">Supplemental </w:t>
      </w:r>
      <w:r w:rsidR="003D53EA">
        <w:t>Table</w:t>
      </w:r>
      <w:r>
        <w:t xml:space="preserve"> </w:t>
      </w:r>
      <w:r w:rsidR="00455714">
        <w:t>B</w:t>
      </w:r>
    </w:p>
    <w:p w:rsidR="00A1256F" w:rsidRDefault="0017462D">
      <w:pPr>
        <w:pStyle w:val="Author"/>
      </w:pPr>
      <w:r>
        <w:t>Brooks et al.</w:t>
      </w:r>
      <w:r w:rsidR="002F669F">
        <w:t xml:space="preserve"> 201</w:t>
      </w:r>
      <w:r w:rsidR="00FE617B">
        <w:t>9</w:t>
      </w:r>
      <w:bookmarkStart w:id="0" w:name="_GoBack"/>
      <w:bookmarkEnd w:id="0"/>
    </w:p>
    <w:p w:rsidR="003D53EA" w:rsidRDefault="00455714" w:rsidP="003D53EA">
      <w:pPr>
        <w:pStyle w:val="BodyText"/>
      </w:pPr>
      <w:r>
        <w:t>Supplemental Table B</w:t>
      </w:r>
      <w:r w:rsidRPr="00455714">
        <w:t>. Summary of demographic and environmental data by season. Recruitment year indicates whether breeding wetlands held water long enough for larvae to undergo metamorphosis. Mean precipitation and temperatures across sampling occasions within a year are presented with the range of values in parentheses.</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1819"/>
        <w:gridCol w:w="907"/>
        <w:gridCol w:w="1801"/>
        <w:gridCol w:w="1919"/>
        <w:gridCol w:w="1856"/>
      </w:tblGrid>
      <w:tr w:rsidR="00455714" w:rsidRPr="00455714" w:rsidTr="00455714">
        <w:tc>
          <w:tcPr>
            <w:tcW w:w="1490" w:type="dxa"/>
            <w:tcBorders>
              <w:top w:val="single" w:sz="4" w:space="0" w:color="auto"/>
              <w:left w:val="nil"/>
              <w:bottom w:val="single" w:sz="4" w:space="0" w:color="auto"/>
              <w:right w:val="nil"/>
            </w:tcBorders>
            <w:vAlign w:val="center"/>
            <w:hideMark/>
          </w:tcPr>
          <w:p w:rsidR="00455714" w:rsidRPr="00455714" w:rsidRDefault="00455714" w:rsidP="00455714">
            <w:pPr>
              <w:pStyle w:val="BodyText"/>
            </w:pPr>
            <w:r w:rsidRPr="00455714">
              <w:t>Season</w:t>
            </w:r>
          </w:p>
        </w:tc>
        <w:tc>
          <w:tcPr>
            <w:tcW w:w="1819" w:type="dxa"/>
            <w:tcBorders>
              <w:top w:val="single" w:sz="4" w:space="0" w:color="auto"/>
              <w:left w:val="nil"/>
              <w:bottom w:val="single" w:sz="4" w:space="0" w:color="auto"/>
              <w:right w:val="nil"/>
            </w:tcBorders>
            <w:vAlign w:val="center"/>
            <w:hideMark/>
          </w:tcPr>
          <w:p w:rsidR="00455714" w:rsidRPr="00455714" w:rsidRDefault="00455714" w:rsidP="00455714">
            <w:pPr>
              <w:pStyle w:val="BodyText"/>
            </w:pPr>
            <w:r w:rsidRPr="00455714">
              <w:t>Captures (recaptures)</w:t>
            </w:r>
          </w:p>
        </w:tc>
        <w:tc>
          <w:tcPr>
            <w:tcW w:w="907" w:type="dxa"/>
            <w:tcBorders>
              <w:top w:val="single" w:sz="4" w:space="0" w:color="auto"/>
              <w:left w:val="nil"/>
              <w:bottom w:val="single" w:sz="4" w:space="0" w:color="auto"/>
              <w:right w:val="nil"/>
            </w:tcBorders>
            <w:vAlign w:val="center"/>
            <w:hideMark/>
          </w:tcPr>
          <w:p w:rsidR="00455714" w:rsidRPr="00455714" w:rsidRDefault="00455714" w:rsidP="00455714">
            <w:pPr>
              <w:pStyle w:val="BodyText"/>
            </w:pPr>
            <w:r w:rsidRPr="00455714">
              <w:t>Sex ratio (M:F)</w:t>
            </w:r>
          </w:p>
        </w:tc>
        <w:tc>
          <w:tcPr>
            <w:tcW w:w="1801" w:type="dxa"/>
            <w:tcBorders>
              <w:top w:val="single" w:sz="4" w:space="0" w:color="auto"/>
              <w:left w:val="nil"/>
              <w:bottom w:val="single" w:sz="4" w:space="0" w:color="auto"/>
              <w:right w:val="nil"/>
            </w:tcBorders>
            <w:vAlign w:val="center"/>
            <w:hideMark/>
          </w:tcPr>
          <w:p w:rsidR="00455714" w:rsidRPr="00455714" w:rsidRDefault="00455714" w:rsidP="00455714">
            <w:pPr>
              <w:pStyle w:val="BodyText"/>
            </w:pPr>
            <w:r w:rsidRPr="00455714">
              <w:t>Recruitment year?</w:t>
            </w:r>
          </w:p>
        </w:tc>
        <w:tc>
          <w:tcPr>
            <w:tcW w:w="1919" w:type="dxa"/>
            <w:tcBorders>
              <w:top w:val="single" w:sz="4" w:space="0" w:color="auto"/>
              <w:left w:val="nil"/>
              <w:bottom w:val="single" w:sz="4" w:space="0" w:color="auto"/>
              <w:right w:val="nil"/>
            </w:tcBorders>
            <w:vAlign w:val="center"/>
            <w:hideMark/>
          </w:tcPr>
          <w:p w:rsidR="00455714" w:rsidRPr="00455714" w:rsidRDefault="00455714" w:rsidP="00455714">
            <w:pPr>
              <w:pStyle w:val="BodyText"/>
            </w:pPr>
            <w:r w:rsidRPr="00455714">
              <w:t>Precipitation (mm)</w:t>
            </w:r>
          </w:p>
        </w:tc>
        <w:tc>
          <w:tcPr>
            <w:tcW w:w="1856" w:type="dxa"/>
            <w:tcBorders>
              <w:top w:val="single" w:sz="4" w:space="0" w:color="auto"/>
              <w:left w:val="nil"/>
              <w:bottom w:val="single" w:sz="4" w:space="0" w:color="auto"/>
              <w:right w:val="nil"/>
            </w:tcBorders>
            <w:vAlign w:val="center"/>
            <w:hideMark/>
          </w:tcPr>
          <w:p w:rsidR="00455714" w:rsidRPr="00455714" w:rsidRDefault="00455714" w:rsidP="00455714">
            <w:pPr>
              <w:pStyle w:val="BodyText"/>
            </w:pPr>
            <w:r w:rsidRPr="00455714">
              <w:t>Temperature (°C)</w:t>
            </w:r>
          </w:p>
        </w:tc>
      </w:tr>
      <w:tr w:rsidR="00455714" w:rsidRPr="00455714" w:rsidTr="00455714">
        <w:tc>
          <w:tcPr>
            <w:tcW w:w="1490" w:type="dxa"/>
            <w:tcBorders>
              <w:top w:val="single" w:sz="4" w:space="0" w:color="auto"/>
              <w:left w:val="nil"/>
              <w:bottom w:val="nil"/>
              <w:right w:val="nil"/>
            </w:tcBorders>
            <w:vAlign w:val="center"/>
            <w:hideMark/>
          </w:tcPr>
          <w:p w:rsidR="00455714" w:rsidRPr="00455714" w:rsidRDefault="00455714" w:rsidP="00455714">
            <w:pPr>
              <w:pStyle w:val="BodyText"/>
            </w:pPr>
            <w:r w:rsidRPr="00455714">
              <w:t>2010-2011</w:t>
            </w:r>
          </w:p>
        </w:tc>
        <w:tc>
          <w:tcPr>
            <w:tcW w:w="1819" w:type="dxa"/>
            <w:tcBorders>
              <w:top w:val="single" w:sz="4" w:space="0" w:color="auto"/>
              <w:left w:val="nil"/>
              <w:bottom w:val="nil"/>
              <w:right w:val="nil"/>
            </w:tcBorders>
            <w:vAlign w:val="center"/>
            <w:hideMark/>
          </w:tcPr>
          <w:p w:rsidR="00455714" w:rsidRPr="00455714" w:rsidRDefault="00455714" w:rsidP="00455714">
            <w:pPr>
              <w:pStyle w:val="BodyText"/>
            </w:pPr>
            <w:r w:rsidRPr="00455714">
              <w:t>164 (33)</w:t>
            </w:r>
          </w:p>
        </w:tc>
        <w:tc>
          <w:tcPr>
            <w:tcW w:w="907" w:type="dxa"/>
            <w:tcBorders>
              <w:top w:val="single" w:sz="4" w:space="0" w:color="auto"/>
              <w:left w:val="nil"/>
              <w:bottom w:val="nil"/>
              <w:right w:val="nil"/>
            </w:tcBorders>
            <w:vAlign w:val="center"/>
            <w:hideMark/>
          </w:tcPr>
          <w:p w:rsidR="00455714" w:rsidRPr="00455714" w:rsidRDefault="00455714" w:rsidP="00455714">
            <w:pPr>
              <w:pStyle w:val="BodyText"/>
            </w:pPr>
            <w:r w:rsidRPr="00455714">
              <w:t>0.83</w:t>
            </w:r>
          </w:p>
        </w:tc>
        <w:tc>
          <w:tcPr>
            <w:tcW w:w="1801" w:type="dxa"/>
            <w:tcBorders>
              <w:top w:val="single" w:sz="4" w:space="0" w:color="auto"/>
              <w:left w:val="nil"/>
              <w:bottom w:val="nil"/>
              <w:right w:val="nil"/>
            </w:tcBorders>
            <w:vAlign w:val="center"/>
            <w:hideMark/>
          </w:tcPr>
          <w:p w:rsidR="00455714" w:rsidRPr="00455714" w:rsidRDefault="00455714" w:rsidP="00455714">
            <w:pPr>
              <w:pStyle w:val="BodyText"/>
            </w:pPr>
            <w:r w:rsidRPr="00455714">
              <w:t>N</w:t>
            </w:r>
          </w:p>
        </w:tc>
        <w:tc>
          <w:tcPr>
            <w:tcW w:w="1919" w:type="dxa"/>
            <w:tcBorders>
              <w:top w:val="single" w:sz="4" w:space="0" w:color="auto"/>
              <w:left w:val="nil"/>
              <w:bottom w:val="nil"/>
              <w:right w:val="nil"/>
            </w:tcBorders>
            <w:vAlign w:val="center"/>
            <w:hideMark/>
          </w:tcPr>
          <w:p w:rsidR="00455714" w:rsidRPr="00455714" w:rsidRDefault="00455714" w:rsidP="00455714">
            <w:pPr>
              <w:pStyle w:val="BodyText"/>
            </w:pPr>
            <w:r w:rsidRPr="00455714">
              <w:t>2.2 (0-52)</w:t>
            </w:r>
          </w:p>
        </w:tc>
        <w:tc>
          <w:tcPr>
            <w:tcW w:w="1856" w:type="dxa"/>
            <w:tcBorders>
              <w:top w:val="single" w:sz="4" w:space="0" w:color="auto"/>
              <w:left w:val="nil"/>
              <w:bottom w:val="nil"/>
              <w:right w:val="nil"/>
            </w:tcBorders>
            <w:vAlign w:val="center"/>
            <w:hideMark/>
          </w:tcPr>
          <w:p w:rsidR="00455714" w:rsidRPr="00455714" w:rsidRDefault="00455714" w:rsidP="00455714">
            <w:pPr>
              <w:pStyle w:val="BodyText"/>
            </w:pPr>
            <w:r w:rsidRPr="00455714">
              <w:t>10.9 (-5.4-25.5)</w:t>
            </w:r>
          </w:p>
        </w:tc>
      </w:tr>
      <w:tr w:rsidR="00455714" w:rsidRPr="00455714" w:rsidTr="00455714">
        <w:tc>
          <w:tcPr>
            <w:tcW w:w="1490" w:type="dxa"/>
            <w:vAlign w:val="center"/>
            <w:hideMark/>
          </w:tcPr>
          <w:p w:rsidR="00455714" w:rsidRPr="00455714" w:rsidRDefault="00455714" w:rsidP="00455714">
            <w:pPr>
              <w:pStyle w:val="BodyText"/>
            </w:pPr>
            <w:r w:rsidRPr="00455714">
              <w:t>2011-2012</w:t>
            </w:r>
          </w:p>
        </w:tc>
        <w:tc>
          <w:tcPr>
            <w:tcW w:w="1819" w:type="dxa"/>
            <w:vAlign w:val="center"/>
            <w:hideMark/>
          </w:tcPr>
          <w:p w:rsidR="00455714" w:rsidRPr="00455714" w:rsidRDefault="00455714" w:rsidP="00455714">
            <w:pPr>
              <w:pStyle w:val="BodyText"/>
            </w:pPr>
            <w:r w:rsidRPr="00455714">
              <w:t>231 (108)</w:t>
            </w:r>
          </w:p>
        </w:tc>
        <w:tc>
          <w:tcPr>
            <w:tcW w:w="907" w:type="dxa"/>
            <w:vAlign w:val="center"/>
            <w:hideMark/>
          </w:tcPr>
          <w:p w:rsidR="00455714" w:rsidRPr="00455714" w:rsidRDefault="00455714" w:rsidP="00455714">
            <w:pPr>
              <w:pStyle w:val="BodyText"/>
            </w:pPr>
            <w:r w:rsidRPr="00455714">
              <w:t>1.22</w:t>
            </w:r>
          </w:p>
        </w:tc>
        <w:tc>
          <w:tcPr>
            <w:tcW w:w="1801" w:type="dxa"/>
            <w:vAlign w:val="center"/>
            <w:hideMark/>
          </w:tcPr>
          <w:p w:rsidR="00455714" w:rsidRPr="00455714" w:rsidRDefault="00455714" w:rsidP="00455714">
            <w:pPr>
              <w:pStyle w:val="BodyText"/>
            </w:pPr>
            <w:r w:rsidRPr="00455714">
              <w:t>N</w:t>
            </w:r>
          </w:p>
        </w:tc>
        <w:tc>
          <w:tcPr>
            <w:tcW w:w="1919" w:type="dxa"/>
            <w:vAlign w:val="center"/>
            <w:hideMark/>
          </w:tcPr>
          <w:p w:rsidR="00455714" w:rsidRPr="00455714" w:rsidRDefault="00455714" w:rsidP="00455714">
            <w:pPr>
              <w:pStyle w:val="BodyText"/>
            </w:pPr>
            <w:r w:rsidRPr="00455714">
              <w:t>3.4 (0.0-110)</w:t>
            </w:r>
          </w:p>
        </w:tc>
        <w:tc>
          <w:tcPr>
            <w:tcW w:w="1856" w:type="dxa"/>
            <w:vAlign w:val="center"/>
            <w:hideMark/>
          </w:tcPr>
          <w:p w:rsidR="00455714" w:rsidRPr="00455714" w:rsidRDefault="00455714" w:rsidP="00455714">
            <w:pPr>
              <w:pStyle w:val="BodyText"/>
            </w:pPr>
            <w:r w:rsidRPr="00455714">
              <w:t>12.8 (-4.6-24.5)</w:t>
            </w:r>
          </w:p>
        </w:tc>
      </w:tr>
      <w:tr w:rsidR="00455714" w:rsidRPr="00455714" w:rsidTr="00455714">
        <w:tc>
          <w:tcPr>
            <w:tcW w:w="1490" w:type="dxa"/>
            <w:vAlign w:val="center"/>
            <w:hideMark/>
          </w:tcPr>
          <w:p w:rsidR="00455714" w:rsidRPr="00455714" w:rsidRDefault="00455714" w:rsidP="00455714">
            <w:pPr>
              <w:pStyle w:val="BodyText"/>
            </w:pPr>
            <w:r w:rsidRPr="00455714">
              <w:t>2012-2013</w:t>
            </w:r>
          </w:p>
        </w:tc>
        <w:tc>
          <w:tcPr>
            <w:tcW w:w="1819" w:type="dxa"/>
            <w:vAlign w:val="center"/>
            <w:hideMark/>
          </w:tcPr>
          <w:p w:rsidR="00455714" w:rsidRPr="00455714" w:rsidRDefault="00455714" w:rsidP="00455714">
            <w:pPr>
              <w:pStyle w:val="BodyText"/>
            </w:pPr>
            <w:r w:rsidRPr="00455714">
              <w:t>128 (84)</w:t>
            </w:r>
          </w:p>
        </w:tc>
        <w:tc>
          <w:tcPr>
            <w:tcW w:w="907" w:type="dxa"/>
            <w:vAlign w:val="center"/>
            <w:hideMark/>
          </w:tcPr>
          <w:p w:rsidR="00455714" w:rsidRPr="00455714" w:rsidRDefault="00455714" w:rsidP="00455714">
            <w:pPr>
              <w:pStyle w:val="BodyText"/>
            </w:pPr>
            <w:r w:rsidRPr="00455714">
              <w:t>1.22</w:t>
            </w:r>
          </w:p>
        </w:tc>
        <w:tc>
          <w:tcPr>
            <w:tcW w:w="1801" w:type="dxa"/>
            <w:vAlign w:val="center"/>
            <w:hideMark/>
          </w:tcPr>
          <w:p w:rsidR="00455714" w:rsidRPr="00455714" w:rsidRDefault="00455714" w:rsidP="00455714">
            <w:pPr>
              <w:pStyle w:val="BodyText"/>
            </w:pPr>
            <w:r w:rsidRPr="00455714">
              <w:t>Y</w:t>
            </w:r>
          </w:p>
        </w:tc>
        <w:tc>
          <w:tcPr>
            <w:tcW w:w="1919" w:type="dxa"/>
            <w:vAlign w:val="center"/>
            <w:hideMark/>
          </w:tcPr>
          <w:p w:rsidR="00455714" w:rsidRPr="00455714" w:rsidRDefault="00455714" w:rsidP="00455714">
            <w:pPr>
              <w:pStyle w:val="BodyText"/>
            </w:pPr>
            <w:r w:rsidRPr="00455714">
              <w:t>3.1 (0.0-68)</w:t>
            </w:r>
          </w:p>
        </w:tc>
        <w:tc>
          <w:tcPr>
            <w:tcW w:w="1856" w:type="dxa"/>
            <w:vAlign w:val="center"/>
            <w:hideMark/>
          </w:tcPr>
          <w:p w:rsidR="00455714" w:rsidRPr="00455714" w:rsidRDefault="00455714" w:rsidP="00455714">
            <w:pPr>
              <w:pStyle w:val="BodyText"/>
            </w:pPr>
            <w:r w:rsidRPr="00455714">
              <w:t>11.7 (-1.8-25.5)</w:t>
            </w:r>
          </w:p>
        </w:tc>
      </w:tr>
      <w:tr w:rsidR="00455714" w:rsidRPr="00455714" w:rsidTr="00455714">
        <w:tc>
          <w:tcPr>
            <w:tcW w:w="1490" w:type="dxa"/>
            <w:vAlign w:val="center"/>
            <w:hideMark/>
          </w:tcPr>
          <w:p w:rsidR="00455714" w:rsidRPr="00455714" w:rsidRDefault="00455714" w:rsidP="00455714">
            <w:pPr>
              <w:pStyle w:val="BodyText"/>
            </w:pPr>
            <w:r w:rsidRPr="00455714">
              <w:t>2013-2014</w:t>
            </w:r>
          </w:p>
        </w:tc>
        <w:tc>
          <w:tcPr>
            <w:tcW w:w="1819" w:type="dxa"/>
            <w:vAlign w:val="center"/>
            <w:hideMark/>
          </w:tcPr>
          <w:p w:rsidR="00455714" w:rsidRPr="00455714" w:rsidRDefault="00455714" w:rsidP="00455714">
            <w:pPr>
              <w:pStyle w:val="BodyText"/>
            </w:pPr>
            <w:r w:rsidRPr="00455714">
              <w:t>118 (102)</w:t>
            </w:r>
          </w:p>
        </w:tc>
        <w:tc>
          <w:tcPr>
            <w:tcW w:w="907" w:type="dxa"/>
            <w:vAlign w:val="center"/>
            <w:hideMark/>
          </w:tcPr>
          <w:p w:rsidR="00455714" w:rsidRPr="00455714" w:rsidRDefault="00455714" w:rsidP="00455714">
            <w:pPr>
              <w:pStyle w:val="BodyText"/>
            </w:pPr>
            <w:r w:rsidRPr="00455714">
              <w:t>0.77</w:t>
            </w:r>
          </w:p>
        </w:tc>
        <w:tc>
          <w:tcPr>
            <w:tcW w:w="1801" w:type="dxa"/>
            <w:vAlign w:val="center"/>
            <w:hideMark/>
          </w:tcPr>
          <w:p w:rsidR="00455714" w:rsidRPr="00455714" w:rsidRDefault="00455714" w:rsidP="00455714">
            <w:pPr>
              <w:pStyle w:val="BodyText"/>
            </w:pPr>
            <w:r w:rsidRPr="00455714">
              <w:t>N</w:t>
            </w:r>
          </w:p>
        </w:tc>
        <w:tc>
          <w:tcPr>
            <w:tcW w:w="1919" w:type="dxa"/>
            <w:vAlign w:val="center"/>
            <w:hideMark/>
          </w:tcPr>
          <w:p w:rsidR="00455714" w:rsidRPr="00455714" w:rsidRDefault="00455714" w:rsidP="00455714">
            <w:pPr>
              <w:pStyle w:val="BodyText"/>
            </w:pPr>
            <w:r w:rsidRPr="00455714">
              <w:t>5.9 (0.0-140)</w:t>
            </w:r>
          </w:p>
        </w:tc>
        <w:tc>
          <w:tcPr>
            <w:tcW w:w="1856" w:type="dxa"/>
            <w:vAlign w:val="center"/>
            <w:hideMark/>
          </w:tcPr>
          <w:p w:rsidR="00455714" w:rsidRPr="00455714" w:rsidRDefault="00455714" w:rsidP="00455714">
            <w:pPr>
              <w:pStyle w:val="BodyText"/>
            </w:pPr>
            <w:r w:rsidRPr="00455714">
              <w:t>11.3 (-8.0-24.4)</w:t>
            </w:r>
          </w:p>
        </w:tc>
      </w:tr>
      <w:tr w:rsidR="00455714" w:rsidRPr="00455714" w:rsidTr="00455714">
        <w:tc>
          <w:tcPr>
            <w:tcW w:w="1490" w:type="dxa"/>
            <w:vAlign w:val="center"/>
            <w:hideMark/>
          </w:tcPr>
          <w:p w:rsidR="00455714" w:rsidRPr="00455714" w:rsidRDefault="00455714" w:rsidP="00455714">
            <w:pPr>
              <w:pStyle w:val="BodyText"/>
            </w:pPr>
            <w:r w:rsidRPr="00455714">
              <w:t>2014-2015</w:t>
            </w:r>
          </w:p>
        </w:tc>
        <w:tc>
          <w:tcPr>
            <w:tcW w:w="1819" w:type="dxa"/>
            <w:vAlign w:val="center"/>
            <w:hideMark/>
          </w:tcPr>
          <w:p w:rsidR="00455714" w:rsidRPr="00455714" w:rsidRDefault="00455714" w:rsidP="00455714">
            <w:pPr>
              <w:pStyle w:val="BodyText"/>
            </w:pPr>
            <w:r w:rsidRPr="00455714">
              <w:t>79 (71)</w:t>
            </w:r>
          </w:p>
        </w:tc>
        <w:tc>
          <w:tcPr>
            <w:tcW w:w="907" w:type="dxa"/>
            <w:vAlign w:val="center"/>
            <w:hideMark/>
          </w:tcPr>
          <w:p w:rsidR="00455714" w:rsidRPr="00455714" w:rsidRDefault="00455714" w:rsidP="00455714">
            <w:pPr>
              <w:pStyle w:val="BodyText"/>
            </w:pPr>
            <w:r w:rsidRPr="00455714">
              <w:t>0.29</w:t>
            </w:r>
          </w:p>
        </w:tc>
        <w:tc>
          <w:tcPr>
            <w:tcW w:w="1801" w:type="dxa"/>
            <w:vAlign w:val="center"/>
            <w:hideMark/>
          </w:tcPr>
          <w:p w:rsidR="00455714" w:rsidRPr="00455714" w:rsidRDefault="00455714" w:rsidP="00455714">
            <w:pPr>
              <w:pStyle w:val="BodyText"/>
            </w:pPr>
            <w:r w:rsidRPr="00455714">
              <w:t>Y</w:t>
            </w:r>
          </w:p>
        </w:tc>
        <w:tc>
          <w:tcPr>
            <w:tcW w:w="1919" w:type="dxa"/>
            <w:vAlign w:val="center"/>
            <w:hideMark/>
          </w:tcPr>
          <w:p w:rsidR="00455714" w:rsidRPr="00455714" w:rsidRDefault="00455714" w:rsidP="00455714">
            <w:pPr>
              <w:pStyle w:val="BodyText"/>
            </w:pPr>
            <w:r w:rsidRPr="00455714">
              <w:t>3.7 (0.0-116)</w:t>
            </w:r>
          </w:p>
        </w:tc>
        <w:tc>
          <w:tcPr>
            <w:tcW w:w="1856" w:type="dxa"/>
            <w:vAlign w:val="center"/>
            <w:hideMark/>
          </w:tcPr>
          <w:p w:rsidR="00455714" w:rsidRPr="00455714" w:rsidRDefault="00455714" w:rsidP="00455714">
            <w:pPr>
              <w:pStyle w:val="BodyText"/>
            </w:pPr>
            <w:r w:rsidRPr="00455714">
              <w:t>11.9 (-7.4-24.2)</w:t>
            </w:r>
          </w:p>
        </w:tc>
      </w:tr>
      <w:tr w:rsidR="00455714" w:rsidRPr="00455714" w:rsidTr="00455714">
        <w:tc>
          <w:tcPr>
            <w:tcW w:w="1490" w:type="dxa"/>
            <w:tcBorders>
              <w:top w:val="nil"/>
              <w:left w:val="nil"/>
              <w:bottom w:val="single" w:sz="4" w:space="0" w:color="auto"/>
              <w:right w:val="nil"/>
            </w:tcBorders>
            <w:vAlign w:val="center"/>
            <w:hideMark/>
          </w:tcPr>
          <w:p w:rsidR="00455714" w:rsidRPr="00455714" w:rsidRDefault="00455714" w:rsidP="00455714">
            <w:pPr>
              <w:pStyle w:val="BodyText"/>
            </w:pPr>
            <w:r w:rsidRPr="00455714">
              <w:t>2015-2016</w:t>
            </w:r>
          </w:p>
        </w:tc>
        <w:tc>
          <w:tcPr>
            <w:tcW w:w="1819" w:type="dxa"/>
            <w:tcBorders>
              <w:top w:val="nil"/>
              <w:left w:val="nil"/>
              <w:bottom w:val="single" w:sz="4" w:space="0" w:color="auto"/>
              <w:right w:val="nil"/>
            </w:tcBorders>
            <w:vAlign w:val="center"/>
            <w:hideMark/>
          </w:tcPr>
          <w:p w:rsidR="00455714" w:rsidRPr="00455714" w:rsidRDefault="00455714" w:rsidP="00455714">
            <w:pPr>
              <w:pStyle w:val="BodyText"/>
            </w:pPr>
            <w:r w:rsidRPr="00455714">
              <w:t>305 (206)</w:t>
            </w:r>
          </w:p>
        </w:tc>
        <w:tc>
          <w:tcPr>
            <w:tcW w:w="907" w:type="dxa"/>
            <w:tcBorders>
              <w:top w:val="nil"/>
              <w:left w:val="nil"/>
              <w:bottom w:val="single" w:sz="4" w:space="0" w:color="auto"/>
              <w:right w:val="nil"/>
            </w:tcBorders>
            <w:vAlign w:val="center"/>
            <w:hideMark/>
          </w:tcPr>
          <w:p w:rsidR="00455714" w:rsidRPr="00455714" w:rsidRDefault="00455714" w:rsidP="00455714">
            <w:pPr>
              <w:pStyle w:val="BodyText"/>
            </w:pPr>
            <w:r w:rsidRPr="00455714">
              <w:t>0.50</w:t>
            </w:r>
          </w:p>
        </w:tc>
        <w:tc>
          <w:tcPr>
            <w:tcW w:w="1801" w:type="dxa"/>
            <w:tcBorders>
              <w:top w:val="nil"/>
              <w:left w:val="nil"/>
              <w:bottom w:val="single" w:sz="4" w:space="0" w:color="auto"/>
              <w:right w:val="nil"/>
            </w:tcBorders>
            <w:vAlign w:val="center"/>
            <w:hideMark/>
          </w:tcPr>
          <w:p w:rsidR="00455714" w:rsidRPr="00455714" w:rsidRDefault="00455714" w:rsidP="00455714">
            <w:pPr>
              <w:pStyle w:val="BodyText"/>
            </w:pPr>
            <w:r w:rsidRPr="00455714">
              <w:t>N</w:t>
            </w:r>
          </w:p>
        </w:tc>
        <w:tc>
          <w:tcPr>
            <w:tcW w:w="1919" w:type="dxa"/>
            <w:tcBorders>
              <w:top w:val="nil"/>
              <w:left w:val="nil"/>
              <w:bottom w:val="single" w:sz="4" w:space="0" w:color="auto"/>
              <w:right w:val="nil"/>
            </w:tcBorders>
            <w:vAlign w:val="center"/>
            <w:hideMark/>
          </w:tcPr>
          <w:p w:rsidR="00455714" w:rsidRPr="00455714" w:rsidRDefault="00455714" w:rsidP="00455714">
            <w:pPr>
              <w:pStyle w:val="BodyText"/>
            </w:pPr>
            <w:r w:rsidRPr="00455714">
              <w:t>6.3 (0.0-119)</w:t>
            </w:r>
          </w:p>
        </w:tc>
        <w:tc>
          <w:tcPr>
            <w:tcW w:w="1856" w:type="dxa"/>
            <w:tcBorders>
              <w:top w:val="nil"/>
              <w:left w:val="nil"/>
              <w:bottom w:val="single" w:sz="4" w:space="0" w:color="auto"/>
              <w:right w:val="nil"/>
            </w:tcBorders>
            <w:vAlign w:val="center"/>
            <w:hideMark/>
          </w:tcPr>
          <w:p w:rsidR="00455714" w:rsidRPr="00455714" w:rsidRDefault="00455714" w:rsidP="00455714">
            <w:pPr>
              <w:pStyle w:val="BodyText"/>
            </w:pPr>
            <w:r w:rsidRPr="00455714">
              <w:t>13.3 (-2.7-25.0)</w:t>
            </w:r>
          </w:p>
        </w:tc>
      </w:tr>
    </w:tbl>
    <w:p w:rsidR="003D53EA" w:rsidRDefault="003D53EA" w:rsidP="003D53EA">
      <w:pPr>
        <w:pStyle w:val="BodyText"/>
      </w:pPr>
    </w:p>
    <w:sectPr w:rsidR="003D53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C8D" w:rsidRDefault="00A94C8D">
      <w:pPr>
        <w:spacing w:after="0"/>
      </w:pPr>
      <w:r>
        <w:separator/>
      </w:r>
    </w:p>
  </w:endnote>
  <w:endnote w:type="continuationSeparator" w:id="0">
    <w:p w:rsidR="00A94C8D" w:rsidRDefault="00A94C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C8D" w:rsidRDefault="00A94C8D">
      <w:r>
        <w:separator/>
      </w:r>
    </w:p>
  </w:footnote>
  <w:footnote w:type="continuationSeparator" w:id="0">
    <w:p w:rsidR="00A94C8D" w:rsidRDefault="00A94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21727B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58D6CC0"/>
    <w:multiLevelType w:val="multilevel"/>
    <w:tmpl w:val="0978AD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7462D"/>
    <w:rsid w:val="001D568C"/>
    <w:rsid w:val="002F669F"/>
    <w:rsid w:val="003D53EA"/>
    <w:rsid w:val="00455714"/>
    <w:rsid w:val="004E29B3"/>
    <w:rsid w:val="00590D07"/>
    <w:rsid w:val="00784D58"/>
    <w:rsid w:val="008D6863"/>
    <w:rsid w:val="00A1256F"/>
    <w:rsid w:val="00A94C8D"/>
    <w:rsid w:val="00B86B75"/>
    <w:rsid w:val="00BC48D5"/>
    <w:rsid w:val="00C36279"/>
    <w:rsid w:val="00E315A3"/>
    <w:rsid w:val="00FE61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966C"/>
  <w15:docId w15:val="{86C42762-8BCC-4F34-B0E5-051D35F7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4557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9419">
      <w:bodyDiv w:val="1"/>
      <w:marLeft w:val="0"/>
      <w:marRight w:val="0"/>
      <w:marTop w:val="0"/>
      <w:marBottom w:val="0"/>
      <w:divBdr>
        <w:top w:val="none" w:sz="0" w:space="0" w:color="auto"/>
        <w:left w:val="none" w:sz="0" w:space="0" w:color="auto"/>
        <w:bottom w:val="none" w:sz="0" w:space="0" w:color="auto"/>
        <w:right w:val="none" w:sz="0" w:space="0" w:color="auto"/>
      </w:divBdr>
    </w:div>
    <w:div w:id="1102839903">
      <w:bodyDiv w:val="1"/>
      <w:marLeft w:val="0"/>
      <w:marRight w:val="0"/>
      <w:marTop w:val="0"/>
      <w:marBottom w:val="0"/>
      <w:divBdr>
        <w:top w:val="none" w:sz="0" w:space="0" w:color="auto"/>
        <w:left w:val="none" w:sz="0" w:space="0" w:color="auto"/>
        <w:bottom w:val="none" w:sz="0" w:space="0" w:color="auto"/>
        <w:right w:val="none" w:sz="0" w:space="0" w:color="auto"/>
      </w:divBdr>
    </w:div>
    <w:div w:id="1288661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Supplemental Figure A</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Figure A</dc:title>
  <dc:creator>Brooks et al.</dc:creator>
  <cp:lastModifiedBy>Kathleen Smith</cp:lastModifiedBy>
  <cp:revision>3</cp:revision>
  <dcterms:created xsi:type="dcterms:W3CDTF">2018-11-19T15:56:00Z</dcterms:created>
  <dcterms:modified xsi:type="dcterms:W3CDTF">2019-05-16T14:51:00Z</dcterms:modified>
</cp:coreProperties>
</file>