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6F" w:rsidRDefault="001D568C">
      <w:pPr>
        <w:pStyle w:val="Title"/>
      </w:pPr>
      <w:r>
        <w:t xml:space="preserve">Supplemental </w:t>
      </w:r>
      <w:r w:rsidR="003D53EA">
        <w:t>Table</w:t>
      </w:r>
      <w:r>
        <w:t xml:space="preserve"> </w:t>
      </w:r>
      <w:r w:rsidR="003D53EA">
        <w:t>A</w:t>
      </w:r>
    </w:p>
    <w:p w:rsidR="00A1256F" w:rsidRDefault="008134BD">
      <w:pPr>
        <w:pStyle w:val="Author"/>
      </w:pPr>
      <w:r>
        <w:t>Brooks et al.</w:t>
      </w:r>
      <w:r w:rsidR="002F669F">
        <w:t xml:space="preserve"> 201</w:t>
      </w:r>
      <w:r w:rsidR="003432AE">
        <w:t>9</w:t>
      </w:r>
      <w:bookmarkStart w:id="0" w:name="_GoBack"/>
      <w:bookmarkEnd w:id="0"/>
    </w:p>
    <w:p w:rsidR="001B30C1" w:rsidRDefault="001B30C1" w:rsidP="003D53EA">
      <w:pPr>
        <w:pStyle w:val="BodyText"/>
      </w:pPr>
    </w:p>
    <w:p w:rsidR="00A1256F" w:rsidRDefault="003D53EA" w:rsidP="003D53EA">
      <w:pPr>
        <w:pStyle w:val="BodyText"/>
      </w:pPr>
      <w:r>
        <w:t>Supplemental Table</w:t>
      </w:r>
      <w:r w:rsidRPr="003D53EA">
        <w:t xml:space="preserve"> </w:t>
      </w:r>
      <w:r>
        <w:t>A</w:t>
      </w:r>
      <w:r w:rsidRPr="003D53EA">
        <w:t>.  Dates of operation for two drift fences in Oglesby Flatwoods, Eglin Air Force Base, Okaloosa County, Florida.  Ponds were completely encircled, but on a few nights in 2010-2011 we ran them as partial fences.  Fences were operated continuously during dates shown below during the 2011-2012, 2012-2013, and 2014-2015 seasons. The 2013-2014 season was run continuously until 04/30/2014, but then run on 19 nights until full closure on 05/31/2014. The 2015-2016 season was run continuously until 12/22/2015, then reduced to 5 days a week between 12/27/2015 – 03/18/2016, and finally run on 15 nights until full closure on 05/04/2016.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3126"/>
        <w:gridCol w:w="3024"/>
      </w:tblGrid>
      <w:tr w:rsidR="003D53EA" w:rsidTr="0035486C">
        <w:trPr>
          <w:trHeight w:val="432"/>
        </w:trPr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Season</w:t>
            </w:r>
          </w:p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Pond 4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Pond 5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2010-2011</w:t>
            </w:r>
          </w:p>
        </w:tc>
        <w:tc>
          <w:tcPr>
            <w:tcW w:w="3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11/2/2010-2/27/11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12/12/10 – 2/27/11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2011-2012</w:t>
            </w:r>
          </w:p>
        </w:tc>
        <w:tc>
          <w:tcPr>
            <w:tcW w:w="3126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10/31/2011-3/23/2012</w:t>
            </w:r>
          </w:p>
        </w:tc>
        <w:tc>
          <w:tcPr>
            <w:tcW w:w="3024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10/31/2011-3/23/2012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2012-2013</w:t>
            </w:r>
          </w:p>
        </w:tc>
        <w:tc>
          <w:tcPr>
            <w:tcW w:w="3126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10/29/2012-3/12/2013</w:t>
            </w:r>
          </w:p>
        </w:tc>
        <w:tc>
          <w:tcPr>
            <w:tcW w:w="3024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10/29/2012-3/12/2013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2013-2014</w:t>
            </w:r>
          </w:p>
        </w:tc>
        <w:tc>
          <w:tcPr>
            <w:tcW w:w="3126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10/06/2013-5/31/2014</w:t>
            </w:r>
          </w:p>
        </w:tc>
        <w:tc>
          <w:tcPr>
            <w:tcW w:w="3024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10/06/2013-5/31/2014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2014-2015</w:t>
            </w:r>
          </w:p>
        </w:tc>
        <w:tc>
          <w:tcPr>
            <w:tcW w:w="3126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9/13/2014-3/29/2015</w:t>
            </w:r>
          </w:p>
        </w:tc>
        <w:tc>
          <w:tcPr>
            <w:tcW w:w="3024" w:type="dxa"/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9/13/2014-3/29/2015</w:t>
            </w:r>
          </w:p>
        </w:tc>
      </w:tr>
      <w:tr w:rsidR="003D53EA" w:rsidTr="0035486C">
        <w:trPr>
          <w:trHeight w:val="432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2015-2016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53EA" w:rsidRDefault="0035486C" w:rsidP="0035486C">
            <w:pPr>
              <w:pStyle w:val="BodyText"/>
            </w:pPr>
            <w:r>
              <w:t>10/12/2015-05/22</w:t>
            </w:r>
            <w:r w:rsidR="003D53EA">
              <w:t>/2016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53EA" w:rsidRDefault="003D53EA" w:rsidP="0035486C">
            <w:pPr>
              <w:pStyle w:val="BodyText"/>
            </w:pPr>
            <w:r>
              <w:t>10/12/2015-05/04/2016</w:t>
            </w:r>
          </w:p>
        </w:tc>
      </w:tr>
    </w:tbl>
    <w:p w:rsidR="003D53EA" w:rsidRDefault="003D53EA" w:rsidP="003D53EA">
      <w:pPr>
        <w:pStyle w:val="BodyText"/>
      </w:pPr>
    </w:p>
    <w:sectPr w:rsidR="003D53E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BB" w:rsidRDefault="004E31BB">
      <w:pPr>
        <w:spacing w:after="0"/>
      </w:pPr>
      <w:r>
        <w:separator/>
      </w:r>
    </w:p>
  </w:endnote>
  <w:endnote w:type="continuationSeparator" w:id="0">
    <w:p w:rsidR="004E31BB" w:rsidRDefault="004E3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BB" w:rsidRDefault="004E31BB">
      <w:r>
        <w:separator/>
      </w:r>
    </w:p>
  </w:footnote>
  <w:footnote w:type="continuationSeparator" w:id="0">
    <w:p w:rsidR="004E31BB" w:rsidRDefault="004E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1727B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D6CC0"/>
    <w:multiLevelType w:val="multilevel"/>
    <w:tmpl w:val="0978AD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F1890"/>
    <w:rsid w:val="001B30C1"/>
    <w:rsid w:val="001D568C"/>
    <w:rsid w:val="002F669F"/>
    <w:rsid w:val="003432AE"/>
    <w:rsid w:val="0035486C"/>
    <w:rsid w:val="003D53EA"/>
    <w:rsid w:val="004E29B3"/>
    <w:rsid w:val="004E31BB"/>
    <w:rsid w:val="00590D07"/>
    <w:rsid w:val="00784D58"/>
    <w:rsid w:val="008134BD"/>
    <w:rsid w:val="008D6863"/>
    <w:rsid w:val="00A1256F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EDB"/>
  <w15:docId w15:val="{86C42762-8BCC-4F34-B0E5-051D35F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Figure A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A</dc:title>
  <dc:creator>Brooks et al.</dc:creator>
  <cp:lastModifiedBy>Kathleen Smith</cp:lastModifiedBy>
  <cp:revision>6</cp:revision>
  <dcterms:created xsi:type="dcterms:W3CDTF">2018-11-19T15:54:00Z</dcterms:created>
  <dcterms:modified xsi:type="dcterms:W3CDTF">2019-05-16T14:50:00Z</dcterms:modified>
</cp:coreProperties>
</file>